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CD7CB" w14:textId="5EE6E05F"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PROYEC</w:t>
      </w:r>
      <w:r w:rsidR="00A7245A">
        <w:rPr>
          <w:rFonts w:ascii="Arial" w:eastAsia="Arial" w:hAnsi="Arial" w:cs="Arial"/>
          <w:b/>
          <w:sz w:val="24"/>
          <w:szCs w:val="24"/>
        </w:rPr>
        <w:t xml:space="preserve">TO DE ACUERDO N. </w:t>
      </w:r>
      <w:r w:rsidR="00EF4BF8">
        <w:rPr>
          <w:rFonts w:ascii="Arial" w:eastAsia="Arial" w:hAnsi="Arial" w:cs="Arial"/>
          <w:b/>
          <w:sz w:val="24"/>
          <w:szCs w:val="24"/>
          <w:u w:val="single"/>
        </w:rPr>
        <w:t xml:space="preserve">    </w:t>
      </w:r>
      <w:r w:rsidR="00A7245A">
        <w:rPr>
          <w:rFonts w:ascii="Arial" w:eastAsia="Arial" w:hAnsi="Arial" w:cs="Arial"/>
          <w:b/>
          <w:sz w:val="24"/>
          <w:szCs w:val="24"/>
          <w:u w:val="single"/>
        </w:rPr>
        <w:t xml:space="preserve">    </w:t>
      </w:r>
      <w:r w:rsidR="00100FF2">
        <w:rPr>
          <w:rFonts w:ascii="Arial" w:eastAsia="Arial" w:hAnsi="Arial" w:cs="Arial"/>
          <w:b/>
          <w:sz w:val="24"/>
          <w:szCs w:val="24"/>
        </w:rPr>
        <w:t xml:space="preserve"> DE 202</w:t>
      </w:r>
      <w:r w:rsidR="00812327">
        <w:rPr>
          <w:rFonts w:ascii="Arial" w:eastAsia="Arial" w:hAnsi="Arial" w:cs="Arial"/>
          <w:b/>
          <w:sz w:val="24"/>
          <w:szCs w:val="24"/>
        </w:rPr>
        <w:t>5</w:t>
      </w:r>
    </w:p>
    <w:p w14:paraId="6A3409E8" w14:textId="67795169"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sidR="00812327">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696CFDCB" w14:textId="77777777" w:rsidR="005F0C1F" w:rsidRPr="00644FB2" w:rsidRDefault="005F0C1F">
      <w:pPr>
        <w:jc w:val="center"/>
        <w:rPr>
          <w:rFonts w:ascii="Arial" w:eastAsia="Arial" w:hAnsi="Arial" w:cs="Arial"/>
          <w:b/>
          <w:sz w:val="24"/>
          <w:szCs w:val="24"/>
        </w:rPr>
      </w:pPr>
    </w:p>
    <w:p w14:paraId="15513FE5" w14:textId="77777777" w:rsidR="005F0C1F" w:rsidRPr="00644FB2" w:rsidRDefault="00066CD6" w:rsidP="00644FB2">
      <w:pPr>
        <w:jc w:val="center"/>
        <w:rPr>
          <w:rFonts w:ascii="Arial" w:eastAsia="Arial" w:hAnsi="Arial" w:cs="Arial"/>
          <w:b/>
          <w:sz w:val="24"/>
          <w:szCs w:val="24"/>
        </w:rPr>
      </w:pPr>
      <w:r w:rsidRPr="00644FB2">
        <w:rPr>
          <w:rFonts w:ascii="Arial" w:eastAsia="Arial" w:hAnsi="Arial" w:cs="Arial"/>
          <w:b/>
          <w:sz w:val="24"/>
          <w:szCs w:val="24"/>
        </w:rPr>
        <w:t>EXPOSICIÓN DE MOTIVOS</w:t>
      </w:r>
    </w:p>
    <w:p w14:paraId="690D044A" w14:textId="77777777" w:rsidR="00644FB2" w:rsidRPr="00644FB2" w:rsidRDefault="00644FB2" w:rsidP="00846286">
      <w:pPr>
        <w:jc w:val="center"/>
        <w:rPr>
          <w:rFonts w:ascii="Arial" w:eastAsia="Arial" w:hAnsi="Arial" w:cs="Arial"/>
          <w:b/>
          <w:sz w:val="24"/>
          <w:szCs w:val="24"/>
        </w:rPr>
      </w:pPr>
    </w:p>
    <w:p w14:paraId="336A6B64"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1. OBJETO DEL PROYECTO DE ACUERDO</w:t>
      </w:r>
    </w:p>
    <w:p w14:paraId="14A6B35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El presente Proyecto de Acuerdo tiene por objeto 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5A3C0765" w14:textId="77777777" w:rsidR="005F0C1F" w:rsidRPr="00644FB2" w:rsidRDefault="005F0C1F">
      <w:pPr>
        <w:jc w:val="both"/>
        <w:rPr>
          <w:rFonts w:ascii="Arial" w:eastAsia="Arial" w:hAnsi="Arial" w:cs="Arial"/>
          <w:b/>
          <w:sz w:val="24"/>
          <w:szCs w:val="24"/>
        </w:rPr>
      </w:pPr>
    </w:p>
    <w:p w14:paraId="4BF49D42"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2. ANTECEDENTES</w:t>
      </w:r>
    </w:p>
    <w:p w14:paraId="0241D894" w14:textId="77777777" w:rsidR="00EF0C3F" w:rsidRPr="00795DFA" w:rsidRDefault="00EF0C3F" w:rsidP="00EF0C3F">
      <w:pPr>
        <w:jc w:val="both"/>
        <w:rPr>
          <w:b/>
        </w:rPr>
      </w:pPr>
      <w:r w:rsidRPr="00795DFA">
        <w:t xml:space="preserve">El proyecto de acuerdo se ha presentado ante la </w:t>
      </w:r>
      <w:r w:rsidR="007C2061" w:rsidRPr="00795DFA">
        <w:t xml:space="preserve">corporación </w:t>
      </w:r>
      <w:r w:rsidR="007C2061">
        <w:t xml:space="preserve">en la vigencia 2022 </w:t>
      </w:r>
      <w:r w:rsidRPr="00795DFA">
        <w:t xml:space="preserve">así: </w:t>
      </w:r>
    </w:p>
    <w:p w14:paraId="331E52F3" w14:textId="77777777" w:rsidR="00EF0C3F" w:rsidRPr="00795DFA" w:rsidRDefault="00EF0C3F" w:rsidP="00EF0C3F">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EF0C3F" w:rsidRPr="00795DFA" w14:paraId="131B3576" w14:textId="77777777" w:rsidTr="00FB3A0A">
        <w:tc>
          <w:tcPr>
            <w:tcW w:w="846" w:type="dxa"/>
          </w:tcPr>
          <w:p w14:paraId="2D60FC10" w14:textId="77777777" w:rsidR="00EF0C3F" w:rsidRPr="00795DFA" w:rsidRDefault="00EF0C3F" w:rsidP="00FB3A0A">
            <w:pPr>
              <w:jc w:val="both"/>
              <w:rPr>
                <w:b/>
              </w:rPr>
            </w:pPr>
            <w:r w:rsidRPr="00795DFA">
              <w:rPr>
                <w:b/>
              </w:rPr>
              <w:t xml:space="preserve"> #</w:t>
            </w:r>
          </w:p>
        </w:tc>
        <w:tc>
          <w:tcPr>
            <w:tcW w:w="3568" w:type="dxa"/>
          </w:tcPr>
          <w:p w14:paraId="7CB2BCBD" w14:textId="77777777" w:rsidR="00EF0C3F" w:rsidRPr="00795DFA" w:rsidRDefault="00EF0C3F" w:rsidP="00FB3A0A">
            <w:pPr>
              <w:jc w:val="both"/>
              <w:rPr>
                <w:b/>
              </w:rPr>
            </w:pPr>
            <w:r w:rsidRPr="00795DFA">
              <w:rPr>
                <w:b/>
              </w:rPr>
              <w:t>Título del proyecto</w:t>
            </w:r>
          </w:p>
        </w:tc>
        <w:tc>
          <w:tcPr>
            <w:tcW w:w="2208" w:type="dxa"/>
          </w:tcPr>
          <w:p w14:paraId="6FFF9113" w14:textId="77777777" w:rsidR="00EF0C3F" w:rsidRPr="00795DFA" w:rsidRDefault="00EF0C3F" w:rsidP="00FB3A0A">
            <w:pPr>
              <w:jc w:val="both"/>
              <w:rPr>
                <w:b/>
              </w:rPr>
            </w:pPr>
            <w:r w:rsidRPr="00795DFA">
              <w:rPr>
                <w:b/>
              </w:rPr>
              <w:t>Ponentes</w:t>
            </w:r>
          </w:p>
        </w:tc>
        <w:tc>
          <w:tcPr>
            <w:tcW w:w="2208" w:type="dxa"/>
          </w:tcPr>
          <w:p w14:paraId="3A6D6DD4" w14:textId="77777777" w:rsidR="00EF0C3F" w:rsidRPr="00795DFA" w:rsidRDefault="00EF0C3F" w:rsidP="00FB3A0A">
            <w:pPr>
              <w:jc w:val="both"/>
              <w:rPr>
                <w:b/>
              </w:rPr>
            </w:pPr>
            <w:r w:rsidRPr="00795DFA">
              <w:rPr>
                <w:b/>
              </w:rPr>
              <w:t>Tramite</w:t>
            </w:r>
          </w:p>
        </w:tc>
      </w:tr>
      <w:tr w:rsidR="00EF0C3F" w:rsidRPr="00795DFA" w14:paraId="0FA521BF" w14:textId="77777777" w:rsidTr="00FB3A0A">
        <w:tc>
          <w:tcPr>
            <w:tcW w:w="846" w:type="dxa"/>
          </w:tcPr>
          <w:p w14:paraId="15DEA25F" w14:textId="77777777" w:rsidR="00EF0C3F" w:rsidRPr="00795DFA" w:rsidRDefault="00EF0C3F" w:rsidP="00FB3A0A">
            <w:pPr>
              <w:jc w:val="both"/>
            </w:pPr>
            <w:r>
              <w:t>254-2022</w:t>
            </w:r>
          </w:p>
        </w:tc>
        <w:tc>
          <w:tcPr>
            <w:tcW w:w="3568" w:type="dxa"/>
          </w:tcPr>
          <w:p w14:paraId="1907DA53" w14:textId="77777777" w:rsidR="00EF0C3F" w:rsidRPr="00EF0C3F" w:rsidRDefault="00EF0C3F" w:rsidP="00FB3A0A">
            <w:pPr>
              <w:jc w:val="both"/>
              <w:rPr>
                <w:rFonts w:ascii="Arial" w:eastAsia="Arial" w:hAnsi="Arial" w:cs="Arial"/>
                <w:sz w:val="24"/>
                <w:szCs w:val="24"/>
              </w:rPr>
            </w:pPr>
            <w:r w:rsidRPr="00EF0C3F">
              <w:rPr>
                <w:rFonts w:ascii="Arial" w:eastAsia="Arial" w:hAnsi="Arial" w:cs="Arial"/>
                <w:sz w:val="24"/>
                <w:szCs w:val="24"/>
              </w:rPr>
              <w:t>Por medio del cual se establecen lineamientos para el aprovechamiento económico de los corredores de circulación de las estaciones de Transmilenio de la ciudad</w:t>
            </w:r>
            <w:r>
              <w:rPr>
                <w:rFonts w:ascii="Arial" w:eastAsia="Arial" w:hAnsi="Arial" w:cs="Arial"/>
                <w:sz w:val="24"/>
                <w:szCs w:val="24"/>
              </w:rPr>
              <w:t xml:space="preserve">. </w:t>
            </w:r>
          </w:p>
        </w:tc>
        <w:tc>
          <w:tcPr>
            <w:tcW w:w="2208" w:type="dxa"/>
          </w:tcPr>
          <w:p w14:paraId="5D4F6463" w14:textId="77777777" w:rsidR="00EF0C3F" w:rsidRPr="00795DFA" w:rsidRDefault="00EF0C3F" w:rsidP="00FB3A0A">
            <w:pPr>
              <w:jc w:val="both"/>
              <w:rPr>
                <w:b/>
              </w:rPr>
            </w:pPr>
            <w:r>
              <w:rPr>
                <w:rFonts w:ascii="Arial" w:hAnsi="Arial" w:cs="Arial"/>
                <w:color w:val="000000"/>
                <w:sz w:val="23"/>
                <w:szCs w:val="23"/>
                <w:shd w:val="clear" w:color="auto" w:fill="FFFFFF"/>
              </w:rPr>
              <w:t>H.C. Diego Cancino, H.C Juan Felipe Grillo</w:t>
            </w:r>
          </w:p>
        </w:tc>
        <w:tc>
          <w:tcPr>
            <w:tcW w:w="2208" w:type="dxa"/>
          </w:tcPr>
          <w:p w14:paraId="49CB19AF" w14:textId="77777777" w:rsidR="00EF0C3F" w:rsidRPr="00795DFA" w:rsidRDefault="00EF0C3F" w:rsidP="00FB3A0A">
            <w:pPr>
              <w:jc w:val="both"/>
            </w:pPr>
            <w:r w:rsidRPr="00795DFA">
              <w:t>Archivado</w:t>
            </w:r>
          </w:p>
        </w:tc>
      </w:tr>
      <w:tr w:rsidR="00056E1F" w:rsidRPr="00795DFA" w14:paraId="6C7B5550" w14:textId="77777777" w:rsidTr="00FB3A0A">
        <w:tc>
          <w:tcPr>
            <w:tcW w:w="846" w:type="dxa"/>
          </w:tcPr>
          <w:p w14:paraId="0CBC2B50" w14:textId="1DFC77A1" w:rsidR="00056E1F" w:rsidRDefault="00046D24" w:rsidP="00FB3A0A">
            <w:pPr>
              <w:jc w:val="both"/>
            </w:pPr>
            <w:r>
              <w:t>244-2024</w:t>
            </w:r>
          </w:p>
        </w:tc>
        <w:tc>
          <w:tcPr>
            <w:tcW w:w="3568" w:type="dxa"/>
          </w:tcPr>
          <w:p w14:paraId="29D665B8" w14:textId="33E93249" w:rsidR="00056E1F" w:rsidRPr="00EF0C3F" w:rsidRDefault="00046D24" w:rsidP="00FB3A0A">
            <w:pPr>
              <w:jc w:val="both"/>
              <w:rPr>
                <w:rFonts w:ascii="Arial" w:eastAsia="Arial" w:hAnsi="Arial" w:cs="Arial"/>
                <w:sz w:val="24"/>
                <w:szCs w:val="24"/>
              </w:rPr>
            </w:pPr>
            <w:r w:rsidRPr="00046D24">
              <w:rPr>
                <w:rFonts w:ascii="Arial" w:eastAsia="Arial" w:hAnsi="Arial" w:cs="Arial"/>
                <w:sz w:val="24"/>
                <w:szCs w:val="24"/>
              </w:rPr>
              <w:t>"Por medio del cual se establecen lineamientos para el aprovechamiento económico de los corredores de circulación de las estaciones de Transmilenio de la ciudad"</w:t>
            </w:r>
          </w:p>
        </w:tc>
        <w:tc>
          <w:tcPr>
            <w:tcW w:w="2208" w:type="dxa"/>
          </w:tcPr>
          <w:p w14:paraId="21090C87" w14:textId="73150BD5" w:rsidR="00056E1F" w:rsidRDefault="00046D24" w:rsidP="00FB3A0A">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t>H.C. Andrés Darío Onzaga Niño (Coordinador) y H.C. Álvaro José Argote Muñoz</w:t>
            </w:r>
          </w:p>
        </w:tc>
        <w:tc>
          <w:tcPr>
            <w:tcW w:w="2208" w:type="dxa"/>
          </w:tcPr>
          <w:p w14:paraId="733251DC" w14:textId="10D0A15D" w:rsidR="00056E1F" w:rsidRPr="00795DFA" w:rsidRDefault="00046D24" w:rsidP="00FB3A0A">
            <w:pPr>
              <w:jc w:val="both"/>
            </w:pPr>
            <w:r w:rsidRPr="00795DFA">
              <w:t>Archivado</w:t>
            </w:r>
          </w:p>
        </w:tc>
      </w:tr>
      <w:tr w:rsidR="00046D24" w:rsidRPr="00795DFA" w14:paraId="3CC1ADB7" w14:textId="77777777" w:rsidTr="00FB3A0A">
        <w:tc>
          <w:tcPr>
            <w:tcW w:w="846" w:type="dxa"/>
          </w:tcPr>
          <w:p w14:paraId="1C9F3EA7" w14:textId="74639295" w:rsidR="00046D24" w:rsidRDefault="00046D24" w:rsidP="00046D24">
            <w:pPr>
              <w:jc w:val="both"/>
            </w:pPr>
            <w:r w:rsidRPr="00046D24">
              <w:t xml:space="preserve">90-2024, </w:t>
            </w:r>
            <w:r w:rsidRPr="00046D24">
              <w:lastRenderedPageBreak/>
              <w:t>317-2024 / 467 - 2024</w:t>
            </w:r>
          </w:p>
        </w:tc>
        <w:tc>
          <w:tcPr>
            <w:tcW w:w="3568" w:type="dxa"/>
          </w:tcPr>
          <w:p w14:paraId="24333F06" w14:textId="55DB6F9A" w:rsidR="00046D24" w:rsidRPr="00EF0C3F" w:rsidRDefault="00046D24" w:rsidP="00046D24">
            <w:pPr>
              <w:jc w:val="both"/>
              <w:rPr>
                <w:rFonts w:ascii="Arial" w:eastAsia="Arial" w:hAnsi="Arial" w:cs="Arial"/>
                <w:sz w:val="24"/>
                <w:szCs w:val="24"/>
              </w:rPr>
            </w:pPr>
            <w:r w:rsidRPr="00046D24">
              <w:rPr>
                <w:rFonts w:ascii="Arial" w:eastAsia="Arial" w:hAnsi="Arial" w:cs="Arial"/>
                <w:sz w:val="24"/>
                <w:szCs w:val="24"/>
              </w:rPr>
              <w:lastRenderedPageBreak/>
              <w:t xml:space="preserve">"Por medio del cual se establecen lineamientos para el </w:t>
            </w:r>
            <w:r w:rsidRPr="00046D24">
              <w:rPr>
                <w:rFonts w:ascii="Arial" w:eastAsia="Arial" w:hAnsi="Arial" w:cs="Arial"/>
                <w:sz w:val="24"/>
                <w:szCs w:val="24"/>
              </w:rPr>
              <w:lastRenderedPageBreak/>
              <w:t>aprovechamiento económico de los corredores de circulación de las estaciones de Transmilenio de la ciudad"</w:t>
            </w:r>
          </w:p>
        </w:tc>
        <w:tc>
          <w:tcPr>
            <w:tcW w:w="2208" w:type="dxa"/>
          </w:tcPr>
          <w:p w14:paraId="5D05960E" w14:textId="0943FDF1" w:rsidR="00046D24" w:rsidRDefault="00046D24" w:rsidP="00046D24">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lastRenderedPageBreak/>
              <w:t xml:space="preserve">H.C. Rubén Darío Torrado Pacheco     </w:t>
            </w:r>
            <w:r w:rsidRPr="00046D24">
              <w:rPr>
                <w:rFonts w:ascii="Arial" w:hAnsi="Arial" w:cs="Arial"/>
                <w:color w:val="000000"/>
                <w:sz w:val="23"/>
                <w:szCs w:val="23"/>
                <w:shd w:val="clear" w:color="auto" w:fill="FFFFFF"/>
              </w:rPr>
              <w:lastRenderedPageBreak/>
              <w:t>(Coordinador) y H.C.Rocío Dussán Peréz (ponente)</w:t>
            </w:r>
          </w:p>
        </w:tc>
        <w:tc>
          <w:tcPr>
            <w:tcW w:w="2208" w:type="dxa"/>
          </w:tcPr>
          <w:p w14:paraId="3A5A7EDD" w14:textId="07B90E4E" w:rsidR="00046D24" w:rsidRPr="00795DFA" w:rsidRDefault="00046D24" w:rsidP="00046D24">
            <w:pPr>
              <w:jc w:val="both"/>
            </w:pPr>
            <w:r w:rsidRPr="00795DFA">
              <w:lastRenderedPageBreak/>
              <w:t>Archivado</w:t>
            </w:r>
          </w:p>
        </w:tc>
      </w:tr>
    </w:tbl>
    <w:p w14:paraId="4D0C67B0" w14:textId="77777777" w:rsidR="00EF0C3F" w:rsidRDefault="00EF0C3F" w:rsidP="00EF0C3F">
      <w:pPr>
        <w:jc w:val="both"/>
        <w:rPr>
          <w:b/>
        </w:rPr>
      </w:pPr>
    </w:p>
    <w:p w14:paraId="6FF2B9D4" w14:textId="77777777" w:rsidR="00EF0C3F" w:rsidRDefault="00EF0C3F" w:rsidP="00EF0C3F">
      <w:pPr>
        <w:jc w:val="both"/>
        <w:rPr>
          <w:b/>
        </w:rPr>
      </w:pPr>
    </w:p>
    <w:p w14:paraId="4DCFF3A0" w14:textId="77777777" w:rsidR="005F0C1F" w:rsidRDefault="005F0C1F">
      <w:pPr>
        <w:jc w:val="both"/>
        <w:rPr>
          <w:rFonts w:ascii="Arial" w:eastAsia="Arial" w:hAnsi="Arial" w:cs="Arial"/>
          <w:b/>
          <w:sz w:val="24"/>
          <w:szCs w:val="24"/>
        </w:rPr>
      </w:pPr>
    </w:p>
    <w:p w14:paraId="33CE6626"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 xml:space="preserve">3. </w:t>
      </w:r>
      <w:r w:rsidR="00066CD6" w:rsidRPr="00644FB2">
        <w:rPr>
          <w:rFonts w:ascii="Arial" w:eastAsia="Arial" w:hAnsi="Arial" w:cs="Arial"/>
          <w:b/>
          <w:sz w:val="24"/>
          <w:szCs w:val="24"/>
        </w:rPr>
        <w:t>JUSTIFICACIÓN</w:t>
      </w:r>
    </w:p>
    <w:p w14:paraId="103192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Los efectos generados por la Pandemia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w:t>
      </w:r>
    </w:p>
    <w:p w14:paraId="58CC2D07"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Pese a ello, y de manera desafortunada debemos recordar que la informalidad genera procesos de desestabilización dentro del funcionamiento ordinario del sistema (Flórez, 2012). Generalmente, las ventas informales producen un desincentivo para cientos de ciudadanos que no están de acuerdo con este tipo de prácticas. Ahora bien, revisando el reglamento interno del sistema y el actual código de Policía, encontramos que estas actividades de ventas dentro del sistema, se encuentran prohibidas y en muchos casos, omiten la ley para continuar funcionando. Esto, no solo representa una problemática social, sino que también representa una problemática económica, debido a su desaprovechamiento, ya que los vendedores informales no aportan recursos al sistema. </w:t>
      </w:r>
    </w:p>
    <w:p w14:paraId="2BE84AE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Según el Instituto para el Desarrollo Social (IPES), en 2018 había más de 2.669 vendedores informales en Transmilenio. 1.591 dentro de las estaciones y 1.078 en las cercanías del sistema (puentes peatonales y entradas). Seguramente, estas cifras han crecido desde entonces (EL TIEMPO, 2018). Razón por la cual, se hace necesaria la promoción de Proyectos que logren atender las necesidades de esta población, pero que también constituyan una fuente de ingresos para el sistema. </w:t>
      </w:r>
    </w:p>
    <w:p w14:paraId="098F105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De esta forma, este Proyecto de Acuerdo procura mejorar las condiciones económicas de gran parte de esta población, a partir de la incorporación de la modalidad de alquiler para la venta de productos de confitería, productos comestibles empaquetados y bebidas envasadas. Esta no es solo una apuesta por la formalización, sino que también es una </w:t>
      </w:r>
      <w:r w:rsidRPr="00644FB2">
        <w:rPr>
          <w:rFonts w:ascii="Arial" w:eastAsia="Arial" w:hAnsi="Arial" w:cs="Arial"/>
          <w:sz w:val="24"/>
          <w:szCs w:val="24"/>
        </w:rPr>
        <w:lastRenderedPageBreak/>
        <w:t xml:space="preserve">apuesta para el aprovechamiento económico de los corredores de circulación de las estaciones del sistema. Así, esta propuesta se constituirá formalmente como un mecanismo de captura de valor, que seguramente dejará importantes cifras para el sistema Transmilenio. </w:t>
      </w:r>
    </w:p>
    <w:p w14:paraId="50735DF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Los corredores de circulación fueron elegidos estratégicamente para no afectar y/o incidir sobre el funcionamiento ordinario de las estaciones de Transmilenio. Con los corredores de circulación, nos referimos específicamente al espacio comprendido entre los vagones. Una vez hecha esta aclaración, también debemos señalar que la elección de confitería, productos comestibles empaquetados y bebidas envasadas corresponde al cumplimiento de las normas básicas de sanidad y salubridad. La venta de estos productos no genera exigencias adicionales.</w:t>
      </w:r>
    </w:p>
    <w:p w14:paraId="74E947BD" w14:textId="281FC59B" w:rsidR="005F0C1F" w:rsidRDefault="00066CD6">
      <w:pPr>
        <w:jc w:val="both"/>
        <w:rPr>
          <w:rFonts w:ascii="Arial" w:eastAsia="Arial" w:hAnsi="Arial" w:cs="Arial"/>
          <w:sz w:val="24"/>
          <w:szCs w:val="24"/>
        </w:rPr>
      </w:pPr>
      <w:r w:rsidRPr="00644FB2">
        <w:rPr>
          <w:rFonts w:ascii="Arial" w:eastAsia="Arial" w:hAnsi="Arial" w:cs="Arial"/>
          <w:sz w:val="24"/>
          <w:szCs w:val="24"/>
        </w:rPr>
        <w:t xml:space="preserve">Por último, será el sistema de Transmilenio el encargado de definir las condiciones para otorgar los permisos de operación en los puestos que se vayan a instalar en los corredores de circulación. Dentro del pliego de condiciones, deberán establecerse prioridades para la población más vulnerable. También, deberá establecerse una condición de temporalidad para que todos los participantes tengan igualdad de condiciones y todos tengan la oportunidad de participar en el alquiler de estos espacios. Adicionalmente, el alquiler de estos espacios vendrá acompañado de la presencia de miembros de la Policía Metropolitana de Bogotá para garantizar el orden y la seguridad de los puestos, así como controlar el flujo de los demás vendedores informales dentro del sistema. Asimismo, será Transmilenio el encargado de determinar la capacidad de las estaciones en donde se podrán alquilar algunos de los corredores de circulación para la venta de estos productos. Entendemos que todas las estaciones de Transmilenio no cuentan con las mismas condiciones, por lo que es preciso que se realice un estudio de flujos para el diseño y se puedan brindar garantías para el sistema. </w:t>
      </w:r>
    </w:p>
    <w:p w14:paraId="65EC97CF" w14:textId="77777777" w:rsidR="00042F84" w:rsidRDefault="00042F84">
      <w:pPr>
        <w:jc w:val="both"/>
        <w:rPr>
          <w:rFonts w:ascii="Arial" w:eastAsia="Arial" w:hAnsi="Arial" w:cs="Arial"/>
          <w:sz w:val="24"/>
          <w:szCs w:val="24"/>
        </w:rPr>
      </w:pPr>
    </w:p>
    <w:p w14:paraId="26273161" w14:textId="7D6AF962" w:rsidR="00042F84" w:rsidRPr="00042F84" w:rsidRDefault="00042F84" w:rsidP="00042F84">
      <w:pPr>
        <w:jc w:val="both"/>
        <w:rPr>
          <w:rFonts w:ascii="Arial" w:eastAsia="Arial" w:hAnsi="Arial" w:cs="Arial"/>
          <w:sz w:val="24"/>
          <w:szCs w:val="24"/>
        </w:rPr>
      </w:pPr>
      <w:r>
        <w:rPr>
          <w:rFonts w:ascii="Arial" w:eastAsia="Arial" w:hAnsi="Arial" w:cs="Arial"/>
          <w:sz w:val="24"/>
          <w:szCs w:val="24"/>
        </w:rPr>
        <w:t xml:space="preserve">Organizar </w:t>
      </w:r>
      <w:r w:rsidRPr="00042F84">
        <w:rPr>
          <w:rFonts w:ascii="Arial" w:eastAsia="Arial" w:hAnsi="Arial" w:cs="Arial"/>
          <w:sz w:val="24"/>
          <w:szCs w:val="24"/>
        </w:rPr>
        <w:t>la venta informal en TransMilenio es un tema importante, ya que tiene impactos significativos en diversos aspectos sociales, económicos, y operativos del sistema de transporte público en Bogotá. A continuación, se destacan algunos puntos clave sobre su importancia:</w:t>
      </w:r>
    </w:p>
    <w:p w14:paraId="7393CFE1" w14:textId="59CCD261"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Seguridad de los Usuarios</w:t>
      </w:r>
    </w:p>
    <w:p w14:paraId="089AEA4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puede generar riesgos para la seguridad de los pasajeros, ya que los vendedores suelen moverse entre los buses y estaciones, exponiéndose y exponiendo a los usuarios a posibles accidentes.</w:t>
      </w:r>
    </w:p>
    <w:p w14:paraId="3A1A1289"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En algunos casos, este tipo de actividad puede ser usada como pretexto para actividades ilícitas, como robos o estafas.</w:t>
      </w:r>
    </w:p>
    <w:p w14:paraId="1545F7D3" w14:textId="3B61BAC4"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Calidad del Servicio</w:t>
      </w:r>
    </w:p>
    <w:p w14:paraId="38411C4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presencia de vendedores informales puede interferir con la operación del sistema, afectando el flujo de pasajeros y el confort dentro de los buses.</w:t>
      </w:r>
    </w:p>
    <w:p w14:paraId="575A03E3" w14:textId="77777777" w:rsidR="00042F84" w:rsidRDefault="00042F84" w:rsidP="00042F84">
      <w:pPr>
        <w:jc w:val="both"/>
        <w:rPr>
          <w:rFonts w:ascii="Arial" w:eastAsia="Arial" w:hAnsi="Arial" w:cs="Arial"/>
          <w:sz w:val="24"/>
          <w:szCs w:val="24"/>
        </w:rPr>
      </w:pPr>
      <w:r w:rsidRPr="00042F84">
        <w:rPr>
          <w:rFonts w:ascii="Arial" w:eastAsia="Arial" w:hAnsi="Arial" w:cs="Arial"/>
          <w:sz w:val="24"/>
          <w:szCs w:val="24"/>
        </w:rPr>
        <w:t>Los altos niveles de ruido y el constante movimiento de los vendedores pueden generar incomodidad en los usuarios.</w:t>
      </w:r>
    </w:p>
    <w:p w14:paraId="7BC7C6B2" w14:textId="04309893"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Economía Formal</w:t>
      </w:r>
    </w:p>
    <w:p w14:paraId="3A1E8E3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afecta a los comerciantes formales, quienes pagan impuestos y cumplen con normativas legales. La competencia desleal puede perjudicar la economía formal.</w:t>
      </w:r>
    </w:p>
    <w:p w14:paraId="41423E5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Además, al no regularse, estas actividades no aportan al recaudo fiscal, lo que limita los recursos públicos para mejorar el sistema.</w:t>
      </w:r>
    </w:p>
    <w:p w14:paraId="255DE366" w14:textId="66BB1826"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Control de Espacios Públicos</w:t>
      </w:r>
    </w:p>
    <w:p w14:paraId="1DE9937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TransMilenio es un espacio público, y su regulación es esencial para garantizar el orden y el bienestar general de los ciudadanos.</w:t>
      </w:r>
    </w:p>
    <w:p w14:paraId="24CA82FD"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El descontrol en las actividades informales puede dar lugar a una percepción de falta de autoridad y generar un ambiente menos seguro.</w:t>
      </w:r>
    </w:p>
    <w:p w14:paraId="080FE015" w14:textId="12BBC072"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Salud Pública</w:t>
      </w:r>
    </w:p>
    <w:p w14:paraId="641433A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de alimentos en condiciones inadecuadas de higiene puede representar riesgos para la salud de los usuarios.</w:t>
      </w:r>
    </w:p>
    <w:p w14:paraId="760DBBE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falta de control sobre los productos ofrecidos dificulta garantizar su calidad y seguridad.</w:t>
      </w:r>
    </w:p>
    <w:p w14:paraId="07EF200F" w14:textId="418038B8"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Sostenibilidad del Sistema de Transporte</w:t>
      </w:r>
    </w:p>
    <w:p w14:paraId="7BAD925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TransMilenio depende de los ingresos por pasajes para su operación y mantenimiento. Las actividades informales dentro del sistema pueden impactar negativamente la percepción de calidad, desincentivando el uso del transporte público.</w:t>
      </w:r>
    </w:p>
    <w:p w14:paraId="4CD360CE"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Medidas Posibles</w:t>
      </w:r>
    </w:p>
    <w:p w14:paraId="643592F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Regular la venta informal no implica necesariamente erradicarla, sino buscar un equilibrio que contemple soluciones como:</w:t>
      </w:r>
    </w:p>
    <w:p w14:paraId="226F8FA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Implementar zonas específicas para actividades comerciales reguladas.</w:t>
      </w:r>
    </w:p>
    <w:p w14:paraId="2CE67EC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Mejorar la supervisión y el control en estaciones y buses.</w:t>
      </w:r>
    </w:p>
    <w:p w14:paraId="5F20398D" w14:textId="6F0CBCAA" w:rsidR="00042F84" w:rsidRDefault="00042F84" w:rsidP="00042F84">
      <w:pPr>
        <w:jc w:val="both"/>
        <w:rPr>
          <w:rFonts w:ascii="Arial" w:eastAsia="Arial" w:hAnsi="Arial" w:cs="Arial"/>
          <w:sz w:val="24"/>
          <w:szCs w:val="24"/>
        </w:rPr>
      </w:pPr>
      <w:r w:rsidRPr="00042F84">
        <w:rPr>
          <w:rFonts w:ascii="Arial" w:eastAsia="Arial" w:hAnsi="Arial" w:cs="Arial"/>
          <w:sz w:val="24"/>
          <w:szCs w:val="24"/>
        </w:rPr>
        <w:t>La regulación adecuada de la venta informal en TransMilenio es esencial para garantizar un sistema de transporte más seguro, eficiente y sostenible, en beneficio de todos los usuarios.</w:t>
      </w:r>
    </w:p>
    <w:p w14:paraId="56AEC416" w14:textId="09A5636D" w:rsidR="00042F84" w:rsidRDefault="00042F84" w:rsidP="00042F84">
      <w:pPr>
        <w:jc w:val="both"/>
        <w:rPr>
          <w:rFonts w:ascii="Arial" w:eastAsia="Arial" w:hAnsi="Arial" w:cs="Arial"/>
          <w:sz w:val="24"/>
          <w:szCs w:val="24"/>
        </w:rPr>
      </w:pPr>
    </w:p>
    <w:p w14:paraId="28E40180" w14:textId="4E1A481E" w:rsidR="00042F84" w:rsidRDefault="00042F84" w:rsidP="00042F84">
      <w:pPr>
        <w:jc w:val="both"/>
        <w:rPr>
          <w:rFonts w:ascii="Arial" w:eastAsia="Arial" w:hAnsi="Arial" w:cs="Arial"/>
          <w:sz w:val="24"/>
          <w:szCs w:val="24"/>
        </w:rPr>
      </w:pPr>
    </w:p>
    <w:p w14:paraId="614D7EB6" w14:textId="77777777" w:rsidR="00042F84" w:rsidRPr="00644FB2" w:rsidRDefault="00042F84" w:rsidP="00042F84">
      <w:pPr>
        <w:jc w:val="both"/>
        <w:rPr>
          <w:rFonts w:ascii="Arial" w:eastAsia="Arial" w:hAnsi="Arial" w:cs="Arial"/>
          <w:sz w:val="24"/>
          <w:szCs w:val="24"/>
        </w:rPr>
      </w:pPr>
    </w:p>
    <w:p w14:paraId="34720A88"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4</w:t>
      </w:r>
      <w:r w:rsidR="00066CD6" w:rsidRPr="00644FB2">
        <w:rPr>
          <w:rFonts w:ascii="Arial" w:eastAsia="Arial" w:hAnsi="Arial" w:cs="Arial"/>
          <w:b/>
          <w:sz w:val="24"/>
          <w:szCs w:val="24"/>
        </w:rPr>
        <w:t>. MARCO LEGAL</w:t>
      </w:r>
    </w:p>
    <w:p w14:paraId="160ADA67"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Constitucional </w:t>
      </w:r>
    </w:p>
    <w:p w14:paraId="39695079" w14:textId="77777777" w:rsidR="005F0C1F" w:rsidRPr="00644FB2" w:rsidRDefault="005F0C1F">
      <w:pPr>
        <w:jc w:val="both"/>
        <w:rPr>
          <w:rFonts w:ascii="Arial" w:eastAsia="Arial" w:hAnsi="Arial" w:cs="Arial"/>
          <w:b/>
          <w:sz w:val="24"/>
          <w:szCs w:val="24"/>
          <w:u w:val="single"/>
        </w:rPr>
      </w:pPr>
    </w:p>
    <w:p w14:paraId="18410E7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25. </w:t>
      </w:r>
      <w:r w:rsidRPr="00644FB2">
        <w:rPr>
          <w:rFonts w:ascii="Arial" w:eastAsia="Arial" w:hAnsi="Arial" w:cs="Arial"/>
          <w:sz w:val="24"/>
          <w:szCs w:val="24"/>
        </w:rPr>
        <w:t xml:space="preserve">El trabajo es un derecho y una obligación social y goza, </w:t>
      </w:r>
      <w:r w:rsidRPr="00644FB2">
        <w:rPr>
          <w:rFonts w:ascii="Arial" w:eastAsia="Arial" w:hAnsi="Arial" w:cs="Arial"/>
          <w:sz w:val="24"/>
          <w:szCs w:val="24"/>
          <w:u w:val="single"/>
        </w:rPr>
        <w:t>en todas sus modalidades</w:t>
      </w:r>
      <w:r w:rsidRPr="00644FB2">
        <w:rPr>
          <w:rFonts w:ascii="Arial" w:eastAsia="Arial" w:hAnsi="Arial" w:cs="Arial"/>
          <w:sz w:val="24"/>
          <w:szCs w:val="24"/>
        </w:rPr>
        <w:t>, de la especial protección del Estado. Toda persona tiene derecho a un trabajo en condiciones dignas y justas.</w:t>
      </w:r>
    </w:p>
    <w:p w14:paraId="12D5DE21"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53. </w:t>
      </w:r>
      <w:r w:rsidRPr="00644FB2">
        <w:rPr>
          <w:rFonts w:ascii="Arial" w:eastAsia="Arial" w:hAnsi="Arial" w:cs="Arial"/>
          <w:sz w:val="24"/>
          <w:szCs w:val="24"/>
        </w:rPr>
        <w:t>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irrenunciabilidad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31B7501C" w14:textId="77777777" w:rsidR="005F0C1F" w:rsidRPr="00644FB2" w:rsidRDefault="005F0C1F">
      <w:pPr>
        <w:jc w:val="both"/>
        <w:rPr>
          <w:rFonts w:ascii="Arial" w:eastAsia="Arial" w:hAnsi="Arial" w:cs="Arial"/>
          <w:sz w:val="24"/>
          <w:szCs w:val="24"/>
        </w:rPr>
      </w:pPr>
    </w:p>
    <w:p w14:paraId="60891DE2"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Nacional </w:t>
      </w:r>
    </w:p>
    <w:p w14:paraId="074C4D88" w14:textId="77777777" w:rsidR="005F0C1F" w:rsidRPr="00644FB2" w:rsidRDefault="00066CD6">
      <w:pPr>
        <w:jc w:val="both"/>
        <w:rPr>
          <w:rFonts w:ascii="Arial" w:eastAsia="Arial" w:hAnsi="Arial" w:cs="Arial"/>
          <w:b/>
          <w:color w:val="000000"/>
          <w:sz w:val="24"/>
          <w:szCs w:val="24"/>
        </w:rPr>
      </w:pPr>
      <w:r w:rsidRPr="00644FB2">
        <w:rPr>
          <w:rFonts w:ascii="Arial" w:eastAsia="Arial" w:hAnsi="Arial" w:cs="Arial"/>
          <w:b/>
          <w:color w:val="000000"/>
          <w:sz w:val="24"/>
          <w:szCs w:val="24"/>
        </w:rPr>
        <w:t>LEY 1988 DE 2019. Por la cual se establecen los lineamientos para la formulación, implementación y evaluación de una política pública de los vendedores informales y se dictan otras disposiciones.</w:t>
      </w:r>
    </w:p>
    <w:p w14:paraId="15471980"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4°. </w:t>
      </w:r>
      <w:r w:rsidRPr="00644FB2">
        <w:rPr>
          <w:rFonts w:ascii="Arial" w:eastAsia="Arial" w:hAnsi="Arial" w:cs="Arial"/>
          <w:sz w:val="24"/>
          <w:szCs w:val="24"/>
        </w:rPr>
        <w:t>La política pública de los vendedores informales deberá formularse a partir de los siguientes lineamientos: </w:t>
      </w:r>
    </w:p>
    <w:p w14:paraId="63A9F4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lastRenderedPageBreak/>
        <w:t>a) Establecer programas y proyectos encaminados a garantizar el mínimo vital de esta población, y a gozar de una subsistencia en condiciones dignas, implementando alternativas de trabajo formal para vendedores ambulantes; </w:t>
      </w:r>
    </w:p>
    <w:p w14:paraId="0A1E6A60"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Desarrollar programas de capacitación a vendedores informales en diversas artes u oficios a través del Servicio Nacional de Aprendizaje (SENA); </w:t>
      </w:r>
    </w:p>
    <w:p w14:paraId="4BE3A071"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w:t>
      </w:r>
      <w:r w:rsidRPr="00644FB2">
        <w:rPr>
          <w:rFonts w:ascii="Arial" w:eastAsia="Arial" w:hAnsi="Arial" w:cs="Arial"/>
          <w:sz w:val="24"/>
          <w:szCs w:val="24"/>
          <w:u w:val="single"/>
        </w:rPr>
        <w:t>Fomentar proyectos productivos para los vendedores informales</w:t>
      </w:r>
      <w:r w:rsidRPr="00644FB2">
        <w:rPr>
          <w:rFonts w:ascii="Arial" w:eastAsia="Arial" w:hAnsi="Arial" w:cs="Arial"/>
          <w:sz w:val="24"/>
          <w:szCs w:val="24"/>
        </w:rPr>
        <w:t>; </w:t>
      </w:r>
    </w:p>
    <w:p w14:paraId="768EF86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 </w:t>
      </w:r>
      <w:r w:rsidRPr="00644FB2">
        <w:rPr>
          <w:rFonts w:ascii="Arial" w:eastAsia="Arial" w:hAnsi="Arial" w:cs="Arial"/>
          <w:sz w:val="24"/>
          <w:szCs w:val="24"/>
          <w:u w:val="single"/>
        </w:rPr>
        <w:t>Reglamentar el funcionamiento de espacios</w:t>
      </w:r>
      <w:r w:rsidRPr="00644FB2">
        <w:rPr>
          <w:rFonts w:ascii="Arial" w:eastAsia="Arial" w:hAnsi="Arial" w:cs="Arial"/>
          <w:sz w:val="24"/>
          <w:szCs w:val="24"/>
        </w:rPr>
        <w:t xml:space="preserve"> o Locales Comerciales de Interés Social (LCIS), para promover la inclusión social y mejorar condiciones de vida de vendedores informales; </w:t>
      </w:r>
    </w:p>
    <w:p w14:paraId="65DC49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 Establecer acciones de control y seguimiento que permitan evidenciar la evolución de la situación socioeconómica de la población, para la toma de decisiones; </w:t>
      </w:r>
    </w:p>
    <w:p w14:paraId="4F055B5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f) Impulsar investigaciones o estudios sobre los vendedores informarles, a fin de enfocar soluciones a sus problemas prioritarios; </w:t>
      </w:r>
    </w:p>
    <w:p w14:paraId="1B8DA1E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g) </w:t>
      </w:r>
      <w:r w:rsidRPr="00644FB2">
        <w:rPr>
          <w:rFonts w:ascii="Arial" w:eastAsia="Arial" w:hAnsi="Arial" w:cs="Arial"/>
          <w:sz w:val="24"/>
          <w:szCs w:val="24"/>
          <w:u w:val="single"/>
        </w:rPr>
        <w:t>Se desarrollará un sistema de registro e inscripción de los vendedores informales, que permita caracterizarlos para la elaboración de las líneas de acción y programas que integran la política pública.</w:t>
      </w:r>
      <w:r w:rsidRPr="00644FB2">
        <w:rPr>
          <w:rFonts w:ascii="Arial" w:eastAsia="Arial" w:hAnsi="Arial" w:cs="Arial"/>
          <w:sz w:val="24"/>
          <w:szCs w:val="24"/>
        </w:rPr>
        <w:t xml:space="preserve"> El registro de los venteros informales se actualizará de manera permanente y será concertado con las asociaciones de venteros; </w:t>
      </w:r>
    </w:p>
    <w:p w14:paraId="2388BC1D"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h) </w:t>
      </w:r>
      <w:r w:rsidRPr="00644FB2">
        <w:rPr>
          <w:rFonts w:ascii="Arial" w:eastAsia="Arial" w:hAnsi="Arial" w:cs="Arial"/>
          <w:sz w:val="24"/>
          <w:szCs w:val="24"/>
          <w:u w:val="single"/>
        </w:rPr>
        <w:t>Disponer de espacios seguros para las actividades que realizan los vendedores informales</w:t>
      </w:r>
      <w:r w:rsidRPr="00644FB2">
        <w:rPr>
          <w:rFonts w:ascii="Arial" w:eastAsia="Arial" w:hAnsi="Arial" w:cs="Arial"/>
          <w:sz w:val="24"/>
          <w:szCs w:val="24"/>
        </w:rPr>
        <w:t>; </w:t>
      </w:r>
    </w:p>
    <w:p w14:paraId="4FA569E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i) La política pública establecerá la carnetización de los vendedores informales para facilitar su identificación en el espacio público. Las organizaciones de vendedores informales legalmente constituidas podrán realizar la veeduría a la carnetización. </w:t>
      </w:r>
    </w:p>
    <w:p w14:paraId="17DD3DDB" w14:textId="77777777" w:rsidR="005F0C1F" w:rsidRPr="00644FB2" w:rsidRDefault="005F0C1F">
      <w:pPr>
        <w:jc w:val="both"/>
        <w:rPr>
          <w:rFonts w:ascii="Arial" w:eastAsia="Arial" w:hAnsi="Arial" w:cs="Arial"/>
          <w:sz w:val="24"/>
          <w:szCs w:val="24"/>
          <w:u w:val="single"/>
        </w:rPr>
      </w:pPr>
    </w:p>
    <w:p w14:paraId="1D9ABA1A"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Distrital </w:t>
      </w:r>
    </w:p>
    <w:p w14:paraId="53E22C1E" w14:textId="77777777" w:rsidR="005F0C1F" w:rsidRPr="00644FB2" w:rsidRDefault="00066CD6">
      <w:pPr>
        <w:jc w:val="both"/>
        <w:rPr>
          <w:rFonts w:ascii="Arial" w:eastAsia="Arial" w:hAnsi="Arial" w:cs="Arial"/>
          <w:b/>
          <w:sz w:val="24"/>
          <w:szCs w:val="24"/>
          <w:highlight w:val="white"/>
        </w:rPr>
      </w:pPr>
      <w:r w:rsidRPr="00644FB2">
        <w:rPr>
          <w:rFonts w:ascii="Arial" w:eastAsia="Arial" w:hAnsi="Arial" w:cs="Arial"/>
          <w:b/>
          <w:sz w:val="24"/>
          <w:szCs w:val="24"/>
          <w:highlight w:val="white"/>
        </w:rPr>
        <w:t xml:space="preserve">ACUERDO 812 DE 2021.  Por el cual se establecen los lineamientos generales para la formulación de la Política Pública Distrital de Vendedores Informales y se dictan otras disposiciones. </w:t>
      </w:r>
    </w:p>
    <w:p w14:paraId="26C36F57"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1. Objeto</w:t>
      </w:r>
      <w:r w:rsidRPr="00644FB2">
        <w:rPr>
          <w:rFonts w:ascii="Arial" w:eastAsia="Arial" w:hAnsi="Arial" w:cs="Arial"/>
          <w:sz w:val="24"/>
          <w:szCs w:val="24"/>
        </w:rPr>
        <w:t xml:space="preserve">. El presente Acuerdo tiene como objeto establecer los lineamientos generales para la formulación de la Política Pública Distrital de Vendedores Informales, los cuales estarán formulados en consonancia con la  Ley 1988 de 2019 "Por la cual se establecen los lineamientos para la formulación, implementación y evaluación de una política pública de los vendedores informales y se dictan otras disposiciones" </w:t>
      </w:r>
      <w:r w:rsidRPr="00644FB2">
        <w:rPr>
          <w:rFonts w:ascii="Arial" w:eastAsia="Arial" w:hAnsi="Arial" w:cs="Arial"/>
          <w:sz w:val="24"/>
          <w:szCs w:val="24"/>
          <w:u w:val="single"/>
        </w:rPr>
        <w:t xml:space="preserve">con </w:t>
      </w:r>
      <w:r w:rsidRPr="00644FB2">
        <w:rPr>
          <w:rFonts w:ascii="Arial" w:eastAsia="Arial" w:hAnsi="Arial" w:cs="Arial"/>
          <w:sz w:val="24"/>
          <w:szCs w:val="24"/>
          <w:u w:val="single"/>
        </w:rPr>
        <w:lastRenderedPageBreak/>
        <w:t>el fin de procurar los derechos a la dignidad humana, al mínimo vital, al trabajo, al principio de confianza legítima y a la convivencia en el espacio público de las personas que se dediquen voluntariamente al comercio de bienes o servicios en el espacio público como vendedores informales</w:t>
      </w:r>
      <w:r w:rsidRPr="00644FB2">
        <w:rPr>
          <w:rFonts w:ascii="Arial" w:eastAsia="Arial" w:hAnsi="Arial" w:cs="Arial"/>
          <w:sz w:val="24"/>
          <w:szCs w:val="24"/>
        </w:rPr>
        <w:t>, así como proteger, reglamentar y controlar el uso y aprovechamiento del espacio público del Distrito Capital.</w:t>
      </w:r>
    </w:p>
    <w:p w14:paraId="32931A6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5. Principios.</w:t>
      </w:r>
      <w:r w:rsidRPr="00644FB2">
        <w:rPr>
          <w:rFonts w:ascii="Arial" w:eastAsia="Arial" w:hAnsi="Arial" w:cs="Arial"/>
          <w:sz w:val="24"/>
          <w:szCs w:val="24"/>
        </w:rPr>
        <w:t xml:space="preserve"> La formulación de la política pública deberá orientarse por los siguientes principios básicos que la caracterizan como:</w:t>
      </w:r>
    </w:p>
    <w:p w14:paraId="506975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Dignidad Humana. </w:t>
      </w:r>
      <w:r w:rsidRPr="00644FB2">
        <w:rPr>
          <w:rFonts w:ascii="Arial" w:eastAsia="Arial" w:hAnsi="Arial" w:cs="Arial"/>
          <w:sz w:val="24"/>
          <w:szCs w:val="24"/>
          <w:u w:val="single"/>
        </w:rPr>
        <w:t>Los vendedores informales son sujetos libres de elegir un proyecto de vida, profesión u oficio</w:t>
      </w:r>
      <w:r w:rsidRPr="00644FB2">
        <w:rPr>
          <w:rFonts w:ascii="Arial" w:eastAsia="Arial" w:hAnsi="Arial" w:cs="Arial"/>
          <w:sz w:val="24"/>
          <w:szCs w:val="24"/>
        </w:rPr>
        <w:t xml:space="preserve"> por lo que se les deben garantizar el respeto a la dignidad humana y a los derechos humanos del trabajador informal en condiciones dignas.</w:t>
      </w:r>
    </w:p>
    <w:p w14:paraId="78CBC34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Diversidad poblacional, social y cultural. Se respetará la diversidad de características, circunstancias y necesidades de los vendedores informales; la diversidad de actividades, las prácticas y las dinámicas artísticas, culturales y patrimoniales de las actividades económicas que ocurren en el espacio público para los fines de identificación y registro; así como la necesidad de abordar estas diversidades mediante enfoques específicos y diferenciados.</w:t>
      </w:r>
    </w:p>
    <w:p w14:paraId="3C0F2FFE"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Buena Fe. </w:t>
      </w:r>
      <w:r w:rsidRPr="00644FB2">
        <w:rPr>
          <w:rFonts w:ascii="Arial" w:eastAsia="Arial" w:hAnsi="Arial" w:cs="Arial"/>
          <w:sz w:val="24"/>
          <w:szCs w:val="24"/>
          <w:u w:val="single"/>
        </w:rPr>
        <w:t>Debe existir coherencia en las actuaciones que adelante la administración y la población de vendedores informales, respetando los compromisos adquiridos y los derechos reconocidos por las normas legales</w:t>
      </w:r>
      <w:r w:rsidRPr="00644FB2">
        <w:rPr>
          <w:rFonts w:ascii="Arial" w:eastAsia="Arial" w:hAnsi="Arial" w:cs="Arial"/>
          <w:sz w:val="24"/>
          <w:szCs w:val="24"/>
        </w:rPr>
        <w:t xml:space="preserve"> y la jurisprudencia de las Altas Cortes colombianas. Se debe presumir la buena fe respecto de aquellas actividades que realizan los vendedores informales, no pueden ser consideradas por sí mismas ilegales, ni pueden ser estigmatizadas o criminalizadas por esta razón.</w:t>
      </w:r>
    </w:p>
    <w:p w14:paraId="2DB0FBE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d. Participación. Participación real y efectiva de la ciudadanía, organizaciones de vendedores informales y demás actores en el proceso de la formulación de la política pública.</w:t>
      </w:r>
    </w:p>
    <w:p w14:paraId="79BD1546"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6. Lineamientos. </w:t>
      </w:r>
      <w:r w:rsidRPr="00644FB2">
        <w:rPr>
          <w:rFonts w:ascii="Arial" w:eastAsia="Arial" w:hAnsi="Arial" w:cs="Arial"/>
          <w:sz w:val="24"/>
          <w:szCs w:val="24"/>
        </w:rPr>
        <w:t>La política pública de los vendedores informales en el Distrito Capital deberá formularse a partir de los lineamientos establecidos en el artículo 4º de la Ley 1988 de 2019 y los que a continuación se establecen:</w:t>
      </w:r>
    </w:p>
    <w:p w14:paraId="65E6136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La Administración Distrital a través de las entidades de los sectores central, descentralizado y de las localidades en el marco de sus competencias, </w:t>
      </w:r>
      <w:r w:rsidRPr="00644FB2">
        <w:rPr>
          <w:rFonts w:ascii="Arial" w:eastAsia="Arial" w:hAnsi="Arial" w:cs="Arial"/>
          <w:sz w:val="24"/>
          <w:szCs w:val="24"/>
          <w:u w:val="single"/>
        </w:rPr>
        <w:t>adelantarán las acciones que fortalezcan la caracterización e identificación con enfoques diferenciales de todos los vendedores informales del Distrito Capit</w:t>
      </w:r>
      <w:r w:rsidRPr="00644FB2">
        <w:rPr>
          <w:rFonts w:ascii="Arial" w:eastAsia="Arial" w:hAnsi="Arial" w:cs="Arial"/>
          <w:sz w:val="24"/>
          <w:szCs w:val="24"/>
        </w:rPr>
        <w:t>al, de acuerdo con las categorías contempladas en la Ley 1988 de 2019 y en el artículo segundo del presente Acuerdo. Dicho registro se actualizará de forma periódica.</w:t>
      </w:r>
    </w:p>
    <w:p w14:paraId="4682D1F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lastRenderedPageBreak/>
        <w:t xml:space="preserve">b) </w:t>
      </w:r>
      <w:r w:rsidRPr="00644FB2">
        <w:rPr>
          <w:rFonts w:ascii="Arial" w:eastAsia="Arial" w:hAnsi="Arial" w:cs="Arial"/>
          <w:sz w:val="24"/>
          <w:szCs w:val="24"/>
          <w:u w:val="single"/>
        </w:rPr>
        <w:t>Fortalecer las estrategias para la inclusión de todos los vendedores informales en el R.I.V.I.</w:t>
      </w:r>
      <w:r w:rsidRPr="00644FB2">
        <w:rPr>
          <w:rFonts w:ascii="Arial" w:eastAsia="Arial" w:hAnsi="Arial" w:cs="Arial"/>
          <w:sz w:val="24"/>
          <w:szCs w:val="24"/>
        </w:rPr>
        <w:t xml:space="preserve"> según la Ley 1988 de 2019 y el artículo segundo del presente Acuerdo.</w:t>
      </w:r>
    </w:p>
    <w:p w14:paraId="23BF0858"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El proceso de inscripción en el Registro Individual de Vendedores Informales RIVI se actualizará de manera permanente y será concertado con las organizaciones de vendedores informales, los movimientos y colectivos de base comunitaria. Propender para que el RIVI sea un instrumento para la elaboración de las líneas de acción y los programas que integran la política pública y para reconocer nuevos vendedores, sin que esto implique retirar del sistema de información a quienes ya se han reconocido de ocupación u oficio en el Distrito Capital.</w:t>
      </w:r>
    </w:p>
    <w:p w14:paraId="72AFD03D" w14:textId="77777777" w:rsidR="005F0C1F" w:rsidRPr="00644FB2" w:rsidRDefault="005F0C1F">
      <w:pPr>
        <w:jc w:val="both"/>
        <w:rPr>
          <w:rFonts w:ascii="Arial" w:eastAsia="Arial" w:hAnsi="Arial" w:cs="Arial"/>
          <w:b/>
          <w:sz w:val="24"/>
          <w:szCs w:val="24"/>
        </w:rPr>
      </w:pPr>
    </w:p>
    <w:p w14:paraId="5DD49DCF" w14:textId="77777777" w:rsidR="005F0C1F" w:rsidRPr="00644FB2" w:rsidRDefault="005F0C1F">
      <w:pPr>
        <w:jc w:val="both"/>
        <w:rPr>
          <w:rFonts w:ascii="Arial" w:eastAsia="Arial" w:hAnsi="Arial" w:cs="Arial"/>
          <w:b/>
          <w:sz w:val="24"/>
          <w:szCs w:val="24"/>
        </w:rPr>
      </w:pPr>
    </w:p>
    <w:p w14:paraId="40B6EC89"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5</w:t>
      </w:r>
      <w:r w:rsidR="00066CD6" w:rsidRPr="00644FB2">
        <w:rPr>
          <w:rFonts w:ascii="Arial" w:eastAsia="Arial" w:hAnsi="Arial" w:cs="Arial"/>
          <w:b/>
          <w:sz w:val="24"/>
          <w:szCs w:val="24"/>
        </w:rPr>
        <w:t>. COMPETENCIAS DEL CONCEJO</w:t>
      </w:r>
    </w:p>
    <w:p w14:paraId="449D118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313. </w:t>
      </w:r>
      <w:r w:rsidRPr="00644FB2">
        <w:rPr>
          <w:rFonts w:ascii="Arial" w:eastAsia="Arial" w:hAnsi="Arial" w:cs="Arial"/>
          <w:sz w:val="24"/>
          <w:szCs w:val="24"/>
        </w:rPr>
        <w:t>Corresponde a los Concejos:</w:t>
      </w:r>
    </w:p>
    <w:p w14:paraId="58B6F02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1. Reglamentar las funciones y la </w:t>
      </w:r>
      <w:r w:rsidRPr="00644FB2">
        <w:rPr>
          <w:rFonts w:ascii="Arial" w:eastAsia="Arial" w:hAnsi="Arial" w:cs="Arial"/>
          <w:sz w:val="24"/>
          <w:szCs w:val="24"/>
          <w:u w:val="single"/>
        </w:rPr>
        <w:t>eficiente prestación de los servicios</w:t>
      </w:r>
      <w:r w:rsidRPr="00644FB2">
        <w:rPr>
          <w:rFonts w:ascii="Arial" w:eastAsia="Arial" w:hAnsi="Arial" w:cs="Arial"/>
          <w:sz w:val="24"/>
          <w:szCs w:val="24"/>
        </w:rPr>
        <w:t xml:space="preserve"> a cargo del municipio.</w:t>
      </w:r>
    </w:p>
    <w:p w14:paraId="7D285FF5"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2. Adoptar los correspondientes planes y programas de desarrollo económico y social y de obras públicas.</w:t>
      </w:r>
    </w:p>
    <w:p w14:paraId="10F63F01"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3. Autorizar al alcalde para celebrar contratos y ejercer pro tempore precisas funciones de las que corresponden al Concejo.</w:t>
      </w:r>
    </w:p>
    <w:p w14:paraId="51DBCCB9"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4. Votar de conformidad con la Constitución y la ley los tributos y los gastos locales.</w:t>
      </w:r>
    </w:p>
    <w:p w14:paraId="7849BA5B"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5. Dictar las normas orgánicas del presupuesto y expedir anualmente el presupuesto de rentas y gastos.  Constitución Política de Colombia [Const]. Art. 313. 7 de julio de 1991 (Colombia).</w:t>
      </w:r>
    </w:p>
    <w:p w14:paraId="3F7F3D81" w14:textId="77777777" w:rsidR="005F0C1F" w:rsidRPr="00644FB2" w:rsidRDefault="00066CD6">
      <w:pPr>
        <w:jc w:val="both"/>
        <w:rPr>
          <w:rFonts w:ascii="Arial" w:eastAsia="Arial" w:hAnsi="Arial" w:cs="Arial"/>
          <w:b/>
          <w:sz w:val="24"/>
          <w:szCs w:val="24"/>
        </w:rPr>
      </w:pPr>
      <w:r w:rsidRPr="00644FB2">
        <w:rPr>
          <w:rFonts w:ascii="Arial" w:eastAsia="Arial" w:hAnsi="Arial" w:cs="Arial"/>
          <w:b/>
          <w:sz w:val="24"/>
          <w:szCs w:val="24"/>
        </w:rPr>
        <w:t xml:space="preserve">DECRETO LEY 1421 de 1993 </w:t>
      </w:r>
    </w:p>
    <w:p w14:paraId="0F674EDD" w14:textId="77777777" w:rsidR="005F0C1F" w:rsidRPr="00644FB2" w:rsidRDefault="00066CD6">
      <w:pPr>
        <w:rPr>
          <w:rFonts w:ascii="Arial" w:eastAsia="Arial" w:hAnsi="Arial" w:cs="Arial"/>
          <w:sz w:val="24"/>
          <w:szCs w:val="24"/>
        </w:rPr>
      </w:pPr>
      <w:r w:rsidRPr="00644FB2">
        <w:rPr>
          <w:rFonts w:ascii="Arial" w:eastAsia="Arial" w:hAnsi="Arial" w:cs="Arial"/>
          <w:b/>
          <w:sz w:val="24"/>
          <w:szCs w:val="24"/>
        </w:rPr>
        <w:t>Artículo 12.</w:t>
      </w:r>
      <w:r w:rsidRPr="00644FB2">
        <w:rPr>
          <w:rFonts w:ascii="Arial" w:eastAsia="Arial" w:hAnsi="Arial" w:cs="Arial"/>
          <w:sz w:val="24"/>
          <w:szCs w:val="24"/>
        </w:rPr>
        <w:t xml:space="preserve"> </w:t>
      </w:r>
      <w:r w:rsidRPr="00644FB2">
        <w:rPr>
          <w:rFonts w:ascii="Arial" w:eastAsia="Arial" w:hAnsi="Arial" w:cs="Arial"/>
          <w:i/>
          <w:sz w:val="24"/>
          <w:szCs w:val="24"/>
          <w:highlight w:val="white"/>
        </w:rPr>
        <w:t>Atribuciones</w:t>
      </w:r>
      <w:r w:rsidRPr="00644FB2">
        <w:rPr>
          <w:rFonts w:ascii="Arial" w:eastAsia="Arial" w:hAnsi="Arial" w:cs="Arial"/>
          <w:sz w:val="24"/>
          <w:szCs w:val="24"/>
          <w:highlight w:val="white"/>
        </w:rPr>
        <w:t>. Corresponde al Concejo Distrital, de conformidad con la Constitución y a la ley:</w:t>
      </w:r>
    </w:p>
    <w:p w14:paraId="09493554" w14:textId="77777777" w:rsidR="005F0C1F" w:rsidRPr="00644FB2" w:rsidRDefault="00066CD6">
      <w:pPr>
        <w:rPr>
          <w:rFonts w:ascii="Arial" w:eastAsia="Arial" w:hAnsi="Arial" w:cs="Arial"/>
          <w:sz w:val="24"/>
          <w:szCs w:val="24"/>
        </w:rPr>
      </w:pPr>
      <w:r w:rsidRPr="00644FB2">
        <w:rPr>
          <w:rFonts w:ascii="Arial" w:eastAsia="Arial" w:hAnsi="Arial" w:cs="Arial"/>
          <w:sz w:val="24"/>
          <w:szCs w:val="24"/>
        </w:rPr>
        <w:t>1. Dictar las normas necesarias para garantizar el adecuado cumplimiento de las funciones y la eficiente prestación de los servicios a cargo del Distrito.</w:t>
      </w:r>
    </w:p>
    <w:p w14:paraId="588F7E1A" w14:textId="77777777" w:rsidR="005F0C1F" w:rsidRPr="00644FB2" w:rsidRDefault="005F0C1F">
      <w:pPr>
        <w:jc w:val="both"/>
        <w:rPr>
          <w:rFonts w:ascii="Arial" w:eastAsia="Arial" w:hAnsi="Arial" w:cs="Arial"/>
          <w:b/>
          <w:sz w:val="24"/>
          <w:szCs w:val="24"/>
        </w:rPr>
      </w:pPr>
    </w:p>
    <w:p w14:paraId="13E59A31"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6</w:t>
      </w:r>
      <w:r w:rsidR="00066CD6" w:rsidRPr="00644FB2">
        <w:rPr>
          <w:rFonts w:ascii="Arial" w:eastAsia="Arial" w:hAnsi="Arial" w:cs="Arial"/>
          <w:b/>
          <w:sz w:val="24"/>
          <w:szCs w:val="24"/>
        </w:rPr>
        <w:t>. IMPACTO FISCAL</w:t>
      </w:r>
    </w:p>
    <w:p w14:paraId="6A590F1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lastRenderedPageBreak/>
        <w:t>Teniendo en cuenta los mandatos de la Ley 819 de 2003, este proyecto de acuerdo no genera impacto fiscal que implique o conlleve a una modificación en el marco fiscal de mediano plazo, toda vez que no se incrementará el presupuesto del Distrito, ni ocasionará la creación de unas nueve fuentes de financiación.</w:t>
      </w:r>
    </w:p>
    <w:p w14:paraId="75A57FAF" w14:textId="77777777" w:rsidR="005F0C1F" w:rsidRPr="00644FB2" w:rsidRDefault="005F0C1F">
      <w:pPr>
        <w:jc w:val="both"/>
        <w:rPr>
          <w:rFonts w:ascii="Arial" w:eastAsia="Arial" w:hAnsi="Arial" w:cs="Arial"/>
          <w:sz w:val="24"/>
          <w:szCs w:val="24"/>
        </w:rPr>
      </w:pPr>
    </w:p>
    <w:p w14:paraId="69204698" w14:textId="77777777" w:rsidR="00644FB2" w:rsidRPr="00644FB2" w:rsidRDefault="00644FB2">
      <w:pPr>
        <w:jc w:val="both"/>
        <w:rPr>
          <w:rFonts w:ascii="Arial" w:eastAsia="Arial" w:hAnsi="Arial" w:cs="Arial"/>
          <w:sz w:val="24"/>
          <w:szCs w:val="24"/>
        </w:rPr>
      </w:pPr>
    </w:p>
    <w:p w14:paraId="16413653"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7</w:t>
      </w:r>
      <w:r w:rsidR="00066CD6" w:rsidRPr="00644FB2">
        <w:rPr>
          <w:rFonts w:ascii="Arial" w:eastAsia="Arial" w:hAnsi="Arial" w:cs="Arial"/>
          <w:b/>
          <w:sz w:val="24"/>
          <w:szCs w:val="24"/>
        </w:rPr>
        <w:t>. CONCLUSIONES</w:t>
      </w:r>
    </w:p>
    <w:p w14:paraId="5ECDC05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Este Proyecto de Acuerdo propone la inclusión de un nuevo mecanismo para la captura de valor en el sistema de Transmilenio. Su aprobación generaría incentivos para que la ciudadanía retorne de manera gradual y se apropie del sistema. También, este Proyecto contribuiría al aprovechamiento económico y a la formalización de algunas de las dinámicas que diariamente se ven y afectan el funcionamiento ordinario del sistema Transmilenio.</w:t>
      </w:r>
    </w:p>
    <w:p w14:paraId="76C76924" w14:textId="77777777" w:rsidR="00E1195B" w:rsidRPr="00E1195B" w:rsidRDefault="00E1195B" w:rsidP="00E1195B">
      <w:pPr>
        <w:spacing w:after="0" w:line="276" w:lineRule="auto"/>
        <w:jc w:val="both"/>
        <w:rPr>
          <w:rFonts w:ascii="Arial" w:eastAsia="Arial" w:hAnsi="Arial" w:cs="Arial"/>
          <w:sz w:val="24"/>
          <w:szCs w:val="24"/>
          <w:lang w:eastAsia="es-ES_tradnl"/>
        </w:rPr>
      </w:pPr>
      <w:r w:rsidRPr="00E1195B">
        <w:rPr>
          <w:rFonts w:ascii="Arial" w:eastAsia="Arial" w:hAnsi="Arial" w:cs="Arial"/>
          <w:sz w:val="24"/>
          <w:szCs w:val="24"/>
          <w:lang w:eastAsia="es-ES_tradnl"/>
        </w:rPr>
        <w:t xml:space="preserve">Cordialmente, </w:t>
      </w:r>
    </w:p>
    <w:p w14:paraId="5B19784C" w14:textId="77777777" w:rsidR="00E1195B" w:rsidRPr="00E1195B" w:rsidRDefault="00E1195B" w:rsidP="00E1195B">
      <w:pPr>
        <w:spacing w:after="0" w:line="276" w:lineRule="auto"/>
        <w:jc w:val="both"/>
        <w:rPr>
          <w:rFonts w:ascii="Arial" w:eastAsia="Arial" w:hAnsi="Arial" w:cs="Arial"/>
          <w:sz w:val="24"/>
          <w:szCs w:val="24"/>
          <w:lang w:eastAsia="es-ES_tradnl"/>
        </w:rPr>
      </w:pPr>
    </w:p>
    <w:p w14:paraId="7B28DCF0" w14:textId="4CE25304" w:rsidR="00E1195B" w:rsidRPr="00E1195B" w:rsidRDefault="00E1195B" w:rsidP="00E1195B">
      <w:pPr>
        <w:spacing w:after="0" w:line="276" w:lineRule="auto"/>
        <w:jc w:val="both"/>
        <w:rPr>
          <w:rFonts w:ascii="Arial" w:eastAsia="Arial" w:hAnsi="Arial" w:cs="Arial"/>
          <w:sz w:val="24"/>
          <w:szCs w:val="24"/>
          <w:lang w:eastAsia="es-ES_tradnl"/>
        </w:rPr>
      </w:pPr>
      <w:bookmarkStart w:id="0" w:name="_GoBack"/>
      <w:bookmarkEnd w:id="0"/>
    </w:p>
    <w:p w14:paraId="69B0E184" w14:textId="51BED916" w:rsidR="00E1195B" w:rsidRPr="00E1195B" w:rsidRDefault="00E1195B" w:rsidP="00E1195B">
      <w:pPr>
        <w:spacing w:after="0" w:line="276" w:lineRule="auto"/>
        <w:jc w:val="both"/>
        <w:rPr>
          <w:rFonts w:ascii="Arial" w:eastAsia="Arial" w:hAnsi="Arial" w:cs="Arial"/>
          <w:sz w:val="24"/>
          <w:szCs w:val="24"/>
          <w:lang w:eastAsia="es-ES_tradnl"/>
        </w:rPr>
      </w:pPr>
    </w:p>
    <w:p w14:paraId="41C86862" w14:textId="77777777" w:rsidR="00E1195B" w:rsidRPr="00E1195B" w:rsidRDefault="00E1195B" w:rsidP="00A73C1A">
      <w:pPr>
        <w:spacing w:after="0" w:line="240" w:lineRule="auto"/>
        <w:jc w:val="center"/>
        <w:rPr>
          <w:rFonts w:ascii="Arial" w:eastAsia="Arial" w:hAnsi="Arial" w:cs="Arial"/>
          <w:b/>
          <w:sz w:val="24"/>
          <w:szCs w:val="24"/>
          <w:lang w:eastAsia="es-ES_tradnl"/>
        </w:rPr>
      </w:pPr>
    </w:p>
    <w:p w14:paraId="405952DD"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DIANA MARCELA DIAGO GUAQUETA</w:t>
      </w:r>
    </w:p>
    <w:p w14:paraId="3DCCCB4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Concejal de Bogotá D.C</w:t>
      </w:r>
    </w:p>
    <w:p w14:paraId="749EC78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Partido Centro Democrático</w:t>
      </w:r>
    </w:p>
    <w:p w14:paraId="0A590EAA" w14:textId="617E26C1" w:rsidR="00A73C1A" w:rsidRDefault="00A73C1A">
      <w:pPr>
        <w:jc w:val="center"/>
        <w:rPr>
          <w:rFonts w:ascii="Arial" w:eastAsia="Arial" w:hAnsi="Arial" w:cs="Arial"/>
          <w:b/>
          <w:sz w:val="24"/>
          <w:szCs w:val="24"/>
        </w:rPr>
      </w:pPr>
    </w:p>
    <w:p w14:paraId="3FA1A317" w14:textId="36FA6F31" w:rsidR="000B4367" w:rsidRDefault="000B4367">
      <w:pPr>
        <w:jc w:val="center"/>
        <w:rPr>
          <w:rFonts w:ascii="Arial" w:eastAsia="Arial" w:hAnsi="Arial" w:cs="Arial"/>
          <w:b/>
          <w:sz w:val="24"/>
          <w:szCs w:val="24"/>
        </w:rPr>
      </w:pPr>
    </w:p>
    <w:p w14:paraId="4088695E" w14:textId="4C3F0853" w:rsidR="000B4367" w:rsidRDefault="000B4367">
      <w:pPr>
        <w:jc w:val="center"/>
        <w:rPr>
          <w:rFonts w:ascii="Arial" w:eastAsia="Arial" w:hAnsi="Arial" w:cs="Arial"/>
          <w:b/>
          <w:sz w:val="24"/>
          <w:szCs w:val="24"/>
        </w:rPr>
      </w:pPr>
    </w:p>
    <w:p w14:paraId="292F3571" w14:textId="1321E900" w:rsidR="000B4367" w:rsidRDefault="000B4367">
      <w:pPr>
        <w:jc w:val="center"/>
        <w:rPr>
          <w:rFonts w:ascii="Arial" w:eastAsia="Arial" w:hAnsi="Arial" w:cs="Arial"/>
          <w:b/>
          <w:sz w:val="24"/>
          <w:szCs w:val="24"/>
        </w:rPr>
      </w:pPr>
    </w:p>
    <w:p w14:paraId="16F45A47" w14:textId="37380EE4" w:rsidR="000B4367" w:rsidRDefault="000B4367">
      <w:pPr>
        <w:jc w:val="center"/>
        <w:rPr>
          <w:rFonts w:ascii="Arial" w:eastAsia="Arial" w:hAnsi="Arial" w:cs="Arial"/>
          <w:b/>
          <w:sz w:val="24"/>
          <w:szCs w:val="24"/>
        </w:rPr>
      </w:pPr>
    </w:p>
    <w:p w14:paraId="7CA00409" w14:textId="21C7CADA" w:rsidR="000B4367" w:rsidRDefault="000B4367">
      <w:pPr>
        <w:jc w:val="center"/>
        <w:rPr>
          <w:rFonts w:ascii="Arial" w:eastAsia="Arial" w:hAnsi="Arial" w:cs="Arial"/>
          <w:b/>
          <w:sz w:val="24"/>
          <w:szCs w:val="24"/>
        </w:rPr>
      </w:pPr>
    </w:p>
    <w:p w14:paraId="08BDD129" w14:textId="750DBBB4" w:rsidR="000B4367" w:rsidRDefault="000B4367">
      <w:pPr>
        <w:jc w:val="center"/>
        <w:rPr>
          <w:rFonts w:ascii="Arial" w:eastAsia="Arial" w:hAnsi="Arial" w:cs="Arial"/>
          <w:b/>
          <w:sz w:val="24"/>
          <w:szCs w:val="24"/>
        </w:rPr>
      </w:pPr>
    </w:p>
    <w:p w14:paraId="2AE6CFDE" w14:textId="73C14BA4" w:rsidR="000B4367" w:rsidRDefault="000B4367">
      <w:pPr>
        <w:jc w:val="center"/>
        <w:rPr>
          <w:rFonts w:ascii="Arial" w:eastAsia="Arial" w:hAnsi="Arial" w:cs="Arial"/>
          <w:b/>
          <w:sz w:val="24"/>
          <w:szCs w:val="24"/>
        </w:rPr>
      </w:pPr>
    </w:p>
    <w:p w14:paraId="597FC42B" w14:textId="15958D8D" w:rsidR="000B4367" w:rsidRDefault="000B4367">
      <w:pPr>
        <w:jc w:val="center"/>
        <w:rPr>
          <w:rFonts w:ascii="Arial" w:eastAsia="Arial" w:hAnsi="Arial" w:cs="Arial"/>
          <w:b/>
          <w:sz w:val="24"/>
          <w:szCs w:val="24"/>
        </w:rPr>
      </w:pPr>
    </w:p>
    <w:p w14:paraId="25640B3A" w14:textId="0A0F81F8" w:rsidR="000B4367" w:rsidRDefault="000B4367">
      <w:pPr>
        <w:jc w:val="center"/>
        <w:rPr>
          <w:rFonts w:ascii="Arial" w:eastAsia="Arial" w:hAnsi="Arial" w:cs="Arial"/>
          <w:b/>
          <w:sz w:val="24"/>
          <w:szCs w:val="24"/>
        </w:rPr>
      </w:pPr>
    </w:p>
    <w:p w14:paraId="0FF9CF07" w14:textId="7D880167" w:rsidR="000B4367" w:rsidRDefault="000B4367">
      <w:pPr>
        <w:jc w:val="center"/>
        <w:rPr>
          <w:rFonts w:ascii="Arial" w:eastAsia="Arial" w:hAnsi="Arial" w:cs="Arial"/>
          <w:b/>
          <w:sz w:val="24"/>
          <w:szCs w:val="24"/>
        </w:rPr>
      </w:pPr>
    </w:p>
    <w:p w14:paraId="65AABFA8" w14:textId="628777F4" w:rsidR="000B4367" w:rsidRDefault="000B4367">
      <w:pPr>
        <w:jc w:val="center"/>
        <w:rPr>
          <w:rFonts w:ascii="Arial" w:eastAsia="Arial" w:hAnsi="Arial" w:cs="Arial"/>
          <w:b/>
          <w:sz w:val="24"/>
          <w:szCs w:val="24"/>
        </w:rPr>
      </w:pPr>
    </w:p>
    <w:p w14:paraId="0211C960" w14:textId="7F671368" w:rsidR="000B4367" w:rsidRDefault="000B4367">
      <w:pPr>
        <w:jc w:val="center"/>
        <w:rPr>
          <w:rFonts w:ascii="Arial" w:eastAsia="Arial" w:hAnsi="Arial" w:cs="Arial"/>
          <w:b/>
          <w:sz w:val="24"/>
          <w:szCs w:val="24"/>
        </w:rPr>
      </w:pPr>
    </w:p>
    <w:p w14:paraId="30606B14" w14:textId="7DF8B734" w:rsidR="000B4367" w:rsidRDefault="000B4367">
      <w:pPr>
        <w:jc w:val="center"/>
        <w:rPr>
          <w:rFonts w:ascii="Arial" w:eastAsia="Arial" w:hAnsi="Arial" w:cs="Arial"/>
          <w:b/>
          <w:sz w:val="24"/>
          <w:szCs w:val="24"/>
        </w:rPr>
      </w:pPr>
    </w:p>
    <w:p w14:paraId="49993708" w14:textId="15E1128A" w:rsidR="000B4367" w:rsidRDefault="000B4367">
      <w:pPr>
        <w:jc w:val="center"/>
        <w:rPr>
          <w:rFonts w:ascii="Arial" w:eastAsia="Arial" w:hAnsi="Arial" w:cs="Arial"/>
          <w:b/>
          <w:sz w:val="24"/>
          <w:szCs w:val="24"/>
        </w:rPr>
      </w:pPr>
    </w:p>
    <w:p w14:paraId="7690E96F" w14:textId="77777777" w:rsidR="000B4367" w:rsidRDefault="000B4367">
      <w:pPr>
        <w:jc w:val="center"/>
        <w:rPr>
          <w:rFonts w:ascii="Arial" w:eastAsia="Arial" w:hAnsi="Arial" w:cs="Arial"/>
          <w:b/>
          <w:sz w:val="24"/>
          <w:szCs w:val="24"/>
        </w:rPr>
      </w:pPr>
    </w:p>
    <w:p w14:paraId="15943F0A" w14:textId="1085CEE4" w:rsidR="00A73C1A" w:rsidRDefault="00A73C1A">
      <w:pPr>
        <w:jc w:val="center"/>
        <w:rPr>
          <w:rFonts w:ascii="Arial" w:eastAsia="Arial" w:hAnsi="Arial" w:cs="Arial"/>
          <w:b/>
          <w:sz w:val="24"/>
          <w:szCs w:val="24"/>
        </w:rPr>
      </w:pPr>
    </w:p>
    <w:p w14:paraId="785EC23D" w14:textId="77777777" w:rsidR="000B4367" w:rsidRDefault="000B4367">
      <w:pPr>
        <w:jc w:val="center"/>
        <w:rPr>
          <w:rFonts w:ascii="Arial" w:eastAsia="Arial" w:hAnsi="Arial" w:cs="Arial"/>
          <w:b/>
          <w:sz w:val="24"/>
          <w:szCs w:val="24"/>
        </w:rPr>
      </w:pPr>
    </w:p>
    <w:p w14:paraId="73432DB5" w14:textId="481156AB" w:rsidR="00A73C1A" w:rsidRDefault="00A73C1A">
      <w:pPr>
        <w:jc w:val="center"/>
        <w:rPr>
          <w:rFonts w:ascii="Arial" w:eastAsia="Arial" w:hAnsi="Arial" w:cs="Arial"/>
          <w:b/>
          <w:sz w:val="24"/>
          <w:szCs w:val="24"/>
        </w:rPr>
      </w:pPr>
    </w:p>
    <w:p w14:paraId="5C36CCA4" w14:textId="3D558658" w:rsidR="00FA4975" w:rsidRDefault="00FA4975">
      <w:pPr>
        <w:jc w:val="center"/>
        <w:rPr>
          <w:rFonts w:ascii="Arial" w:eastAsia="Arial" w:hAnsi="Arial" w:cs="Arial"/>
          <w:b/>
          <w:sz w:val="24"/>
          <w:szCs w:val="24"/>
        </w:rPr>
      </w:pPr>
    </w:p>
    <w:p w14:paraId="150FC4D9" w14:textId="18FF7B5F" w:rsidR="00FA4975" w:rsidRDefault="00FA4975">
      <w:pPr>
        <w:jc w:val="center"/>
        <w:rPr>
          <w:rFonts w:ascii="Arial" w:eastAsia="Arial" w:hAnsi="Arial" w:cs="Arial"/>
          <w:b/>
          <w:sz w:val="24"/>
          <w:szCs w:val="24"/>
        </w:rPr>
      </w:pPr>
    </w:p>
    <w:p w14:paraId="1C2CAA61" w14:textId="78910DEC" w:rsidR="00FA4975" w:rsidRDefault="00FA4975">
      <w:pPr>
        <w:jc w:val="center"/>
        <w:rPr>
          <w:rFonts w:ascii="Arial" w:eastAsia="Arial" w:hAnsi="Arial" w:cs="Arial"/>
          <w:b/>
          <w:sz w:val="24"/>
          <w:szCs w:val="24"/>
        </w:rPr>
      </w:pPr>
    </w:p>
    <w:p w14:paraId="6FD009E6" w14:textId="1B189D71" w:rsidR="00FA4975" w:rsidRDefault="00FA4975">
      <w:pPr>
        <w:jc w:val="center"/>
        <w:rPr>
          <w:rFonts w:ascii="Arial" w:eastAsia="Arial" w:hAnsi="Arial" w:cs="Arial"/>
          <w:b/>
          <w:sz w:val="24"/>
          <w:szCs w:val="24"/>
        </w:rPr>
      </w:pPr>
    </w:p>
    <w:p w14:paraId="1A5CA649" w14:textId="6F63F4C4" w:rsidR="00FA4975" w:rsidRDefault="00FA4975">
      <w:pPr>
        <w:jc w:val="center"/>
        <w:rPr>
          <w:rFonts w:ascii="Arial" w:eastAsia="Arial" w:hAnsi="Arial" w:cs="Arial"/>
          <w:b/>
          <w:sz w:val="24"/>
          <w:szCs w:val="24"/>
        </w:rPr>
      </w:pPr>
    </w:p>
    <w:p w14:paraId="68B1F085" w14:textId="0D651F1F" w:rsidR="00FA4975" w:rsidRDefault="00FA4975">
      <w:pPr>
        <w:jc w:val="center"/>
        <w:rPr>
          <w:rFonts w:ascii="Arial" w:eastAsia="Arial" w:hAnsi="Arial" w:cs="Arial"/>
          <w:b/>
          <w:sz w:val="24"/>
          <w:szCs w:val="24"/>
        </w:rPr>
      </w:pPr>
    </w:p>
    <w:p w14:paraId="7B67A4F3" w14:textId="5230036D" w:rsidR="00FA4975" w:rsidRDefault="00FA4975">
      <w:pPr>
        <w:jc w:val="center"/>
        <w:rPr>
          <w:rFonts w:ascii="Arial" w:eastAsia="Arial" w:hAnsi="Arial" w:cs="Arial"/>
          <w:b/>
          <w:sz w:val="24"/>
          <w:szCs w:val="24"/>
        </w:rPr>
      </w:pPr>
    </w:p>
    <w:p w14:paraId="17003DE6" w14:textId="7F535719" w:rsidR="00FA4975" w:rsidRDefault="00FA4975">
      <w:pPr>
        <w:jc w:val="center"/>
        <w:rPr>
          <w:rFonts w:ascii="Arial" w:eastAsia="Arial" w:hAnsi="Arial" w:cs="Arial"/>
          <w:b/>
          <w:sz w:val="24"/>
          <w:szCs w:val="24"/>
        </w:rPr>
      </w:pPr>
    </w:p>
    <w:p w14:paraId="3B416347" w14:textId="568A64BF" w:rsidR="00FA4975" w:rsidRDefault="00FA4975">
      <w:pPr>
        <w:jc w:val="center"/>
        <w:rPr>
          <w:rFonts w:ascii="Arial" w:eastAsia="Arial" w:hAnsi="Arial" w:cs="Arial"/>
          <w:b/>
          <w:sz w:val="24"/>
          <w:szCs w:val="24"/>
        </w:rPr>
      </w:pPr>
    </w:p>
    <w:p w14:paraId="1647D7F1" w14:textId="5D34093F" w:rsidR="00FA4975" w:rsidRDefault="00FA4975">
      <w:pPr>
        <w:jc w:val="center"/>
        <w:rPr>
          <w:rFonts w:ascii="Arial" w:eastAsia="Arial" w:hAnsi="Arial" w:cs="Arial"/>
          <w:b/>
          <w:sz w:val="24"/>
          <w:szCs w:val="24"/>
        </w:rPr>
      </w:pPr>
    </w:p>
    <w:p w14:paraId="3053A7C7" w14:textId="14585ABB" w:rsidR="00FA4975" w:rsidRDefault="00FA4975">
      <w:pPr>
        <w:jc w:val="center"/>
        <w:rPr>
          <w:rFonts w:ascii="Arial" w:eastAsia="Arial" w:hAnsi="Arial" w:cs="Arial"/>
          <w:b/>
          <w:sz w:val="24"/>
          <w:szCs w:val="24"/>
        </w:rPr>
      </w:pPr>
    </w:p>
    <w:p w14:paraId="1C9D7ED1" w14:textId="6116EB52" w:rsidR="00FA4975" w:rsidRDefault="00FA4975">
      <w:pPr>
        <w:jc w:val="center"/>
        <w:rPr>
          <w:rFonts w:ascii="Arial" w:eastAsia="Arial" w:hAnsi="Arial" w:cs="Arial"/>
          <w:b/>
          <w:sz w:val="24"/>
          <w:szCs w:val="24"/>
        </w:rPr>
      </w:pPr>
    </w:p>
    <w:p w14:paraId="474E88FF" w14:textId="2AEA812B" w:rsidR="00FA4975" w:rsidRDefault="00FA4975">
      <w:pPr>
        <w:jc w:val="center"/>
        <w:rPr>
          <w:rFonts w:ascii="Arial" w:eastAsia="Arial" w:hAnsi="Arial" w:cs="Arial"/>
          <w:b/>
          <w:sz w:val="24"/>
          <w:szCs w:val="24"/>
        </w:rPr>
      </w:pPr>
    </w:p>
    <w:p w14:paraId="016A22FF" w14:textId="5FCD31FA" w:rsidR="00FA4975" w:rsidRDefault="00FA4975">
      <w:pPr>
        <w:jc w:val="center"/>
        <w:rPr>
          <w:rFonts w:ascii="Arial" w:eastAsia="Arial" w:hAnsi="Arial" w:cs="Arial"/>
          <w:b/>
          <w:sz w:val="24"/>
          <w:szCs w:val="24"/>
        </w:rPr>
      </w:pPr>
    </w:p>
    <w:p w14:paraId="5E033D81" w14:textId="3D5B6291" w:rsidR="00FA4975" w:rsidRDefault="00FA4975">
      <w:pPr>
        <w:jc w:val="center"/>
        <w:rPr>
          <w:rFonts w:ascii="Arial" w:eastAsia="Arial" w:hAnsi="Arial" w:cs="Arial"/>
          <w:b/>
          <w:sz w:val="24"/>
          <w:szCs w:val="24"/>
        </w:rPr>
      </w:pPr>
    </w:p>
    <w:p w14:paraId="75E1334F" w14:textId="5B7A4759" w:rsidR="00FA4975" w:rsidRDefault="00FA4975">
      <w:pPr>
        <w:jc w:val="center"/>
        <w:rPr>
          <w:rFonts w:ascii="Arial" w:eastAsia="Arial" w:hAnsi="Arial" w:cs="Arial"/>
          <w:b/>
          <w:sz w:val="24"/>
          <w:szCs w:val="24"/>
        </w:rPr>
      </w:pPr>
    </w:p>
    <w:p w14:paraId="7D0FFFAA" w14:textId="77777777" w:rsidR="00FA4975" w:rsidRDefault="00FA4975">
      <w:pPr>
        <w:jc w:val="center"/>
        <w:rPr>
          <w:rFonts w:ascii="Arial" w:eastAsia="Arial" w:hAnsi="Arial" w:cs="Arial"/>
          <w:b/>
          <w:sz w:val="24"/>
          <w:szCs w:val="24"/>
        </w:rPr>
      </w:pPr>
    </w:p>
    <w:p w14:paraId="733D791A" w14:textId="01057FA4" w:rsidR="005F0C1F" w:rsidRDefault="00066CD6">
      <w:pPr>
        <w:jc w:val="center"/>
        <w:rPr>
          <w:rFonts w:ascii="Arial" w:eastAsia="Arial" w:hAnsi="Arial" w:cs="Arial"/>
          <w:b/>
          <w:sz w:val="24"/>
          <w:szCs w:val="24"/>
        </w:rPr>
      </w:pPr>
      <w:r w:rsidRPr="00644FB2">
        <w:rPr>
          <w:rFonts w:ascii="Arial" w:eastAsia="Arial" w:hAnsi="Arial" w:cs="Arial"/>
          <w:b/>
          <w:sz w:val="24"/>
          <w:szCs w:val="24"/>
        </w:rPr>
        <w:t xml:space="preserve">PROYECTO DE ACUERDO </w:t>
      </w:r>
      <w:r w:rsidR="00100FF2">
        <w:rPr>
          <w:rFonts w:ascii="Arial" w:eastAsia="Arial" w:hAnsi="Arial" w:cs="Arial"/>
          <w:b/>
          <w:sz w:val="24"/>
          <w:szCs w:val="24"/>
        </w:rPr>
        <w:t>N. _______ DE 202</w:t>
      </w:r>
      <w:r w:rsidR="000B4367">
        <w:rPr>
          <w:rFonts w:ascii="Arial" w:eastAsia="Arial" w:hAnsi="Arial" w:cs="Arial"/>
          <w:b/>
          <w:sz w:val="24"/>
          <w:szCs w:val="24"/>
        </w:rPr>
        <w:t>5</w:t>
      </w:r>
    </w:p>
    <w:p w14:paraId="69725044" w14:textId="77777777" w:rsidR="000B4367" w:rsidRPr="00644FB2" w:rsidRDefault="000B4367">
      <w:pPr>
        <w:jc w:val="center"/>
        <w:rPr>
          <w:rFonts w:ascii="Arial" w:eastAsia="Arial" w:hAnsi="Arial" w:cs="Arial"/>
          <w:b/>
          <w:sz w:val="24"/>
          <w:szCs w:val="24"/>
        </w:rPr>
      </w:pPr>
    </w:p>
    <w:p w14:paraId="72595233" w14:textId="77777777" w:rsidR="000B4367" w:rsidRPr="00644FB2" w:rsidRDefault="000B4367" w:rsidP="000B4367">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3FB0EA8D" w14:textId="77777777" w:rsidR="005F0C1F" w:rsidRPr="00644FB2" w:rsidRDefault="005F0C1F">
      <w:pPr>
        <w:jc w:val="center"/>
        <w:rPr>
          <w:rFonts w:ascii="Arial" w:eastAsia="Arial" w:hAnsi="Arial" w:cs="Arial"/>
          <w:sz w:val="24"/>
          <w:szCs w:val="24"/>
        </w:rPr>
      </w:pPr>
    </w:p>
    <w:p w14:paraId="01230A8E"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EL CONCEJO DE BOGOTÁ</w:t>
      </w:r>
    </w:p>
    <w:p w14:paraId="38588935"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379482C2" w14:textId="77777777" w:rsidR="005F0C1F" w:rsidRPr="00644FB2" w:rsidRDefault="005F0C1F">
      <w:pPr>
        <w:jc w:val="center"/>
        <w:rPr>
          <w:rFonts w:ascii="Arial" w:eastAsia="Arial" w:hAnsi="Arial" w:cs="Arial"/>
          <w:sz w:val="24"/>
          <w:szCs w:val="24"/>
        </w:rPr>
      </w:pPr>
    </w:p>
    <w:p w14:paraId="57691CE0" w14:textId="77777777"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ACUERDA </w:t>
      </w:r>
    </w:p>
    <w:p w14:paraId="7685936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1. </w:t>
      </w:r>
      <w:r w:rsidRPr="00A73C1A">
        <w:rPr>
          <w:rFonts w:ascii="Arial" w:eastAsia="Arial" w:hAnsi="Arial" w:cs="Arial"/>
          <w:b/>
          <w:sz w:val="24"/>
          <w:szCs w:val="24"/>
        </w:rPr>
        <w:t>Objeto</w:t>
      </w:r>
      <w:r w:rsidRPr="00644FB2">
        <w:rPr>
          <w:rFonts w:ascii="Arial" w:eastAsia="Arial" w:hAnsi="Arial" w:cs="Arial"/>
          <w:i/>
          <w:sz w:val="24"/>
          <w:szCs w:val="24"/>
        </w:rPr>
        <w:t xml:space="preserve">. </w:t>
      </w:r>
      <w:r w:rsidRPr="00644FB2">
        <w:rPr>
          <w:rFonts w:ascii="Arial" w:eastAsia="Arial" w:hAnsi="Arial" w:cs="Arial"/>
          <w:sz w:val="24"/>
          <w:szCs w:val="24"/>
        </w:rPr>
        <w:t xml:space="preserve">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7D74513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2-</w:t>
      </w:r>
      <w:r w:rsidRPr="00644FB2">
        <w:rPr>
          <w:rFonts w:ascii="Arial" w:eastAsia="Arial" w:hAnsi="Arial" w:cs="Arial"/>
          <w:i/>
          <w:sz w:val="24"/>
          <w:szCs w:val="24"/>
        </w:rPr>
        <w:t xml:space="preserve"> </w:t>
      </w:r>
      <w:r w:rsidRPr="00A73C1A">
        <w:rPr>
          <w:rFonts w:ascii="Arial" w:eastAsia="Arial" w:hAnsi="Arial" w:cs="Arial"/>
          <w:b/>
          <w:sz w:val="24"/>
          <w:szCs w:val="24"/>
        </w:rPr>
        <w:t>Definiciones.</w:t>
      </w:r>
      <w:r w:rsidRPr="00644FB2">
        <w:rPr>
          <w:rFonts w:ascii="Arial" w:eastAsia="Arial" w:hAnsi="Arial" w:cs="Arial"/>
          <w:i/>
          <w:sz w:val="24"/>
          <w:szCs w:val="24"/>
        </w:rPr>
        <w:t xml:space="preserve">  </w:t>
      </w:r>
    </w:p>
    <w:p w14:paraId="725DC9B5"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Confitería</w:t>
      </w:r>
      <w:r w:rsidRPr="00644FB2">
        <w:rPr>
          <w:rFonts w:ascii="Arial" w:eastAsia="Arial" w:hAnsi="Arial" w:cs="Arial"/>
          <w:sz w:val="24"/>
          <w:szCs w:val="24"/>
        </w:rPr>
        <w:t xml:space="preserve"> - Productos alimenticios a base de azúcar, golosinas y caramelos. </w:t>
      </w:r>
    </w:p>
    <w:p w14:paraId="13100D48"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Productos comestibles empaquetados - </w:t>
      </w:r>
      <w:r w:rsidRPr="00644FB2">
        <w:rPr>
          <w:rFonts w:ascii="Arial" w:eastAsia="Arial" w:hAnsi="Arial" w:cs="Arial"/>
          <w:sz w:val="24"/>
          <w:szCs w:val="24"/>
        </w:rPr>
        <w:t>Se entiende por empaquetado a todo aquel proceso para proteger y resguardar un producto durante los procesos de distribución, almacenaje y manipulación. El empaquetado de alimentos tiene como función mantener en condiciones óptimas su contenido.</w:t>
      </w:r>
    </w:p>
    <w:p w14:paraId="69DA459E"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Bebidas envasadas - </w:t>
      </w:r>
      <w:r w:rsidRPr="00644FB2">
        <w:rPr>
          <w:rFonts w:ascii="Arial" w:eastAsia="Arial" w:hAnsi="Arial" w:cs="Arial"/>
          <w:sz w:val="24"/>
          <w:szCs w:val="24"/>
        </w:rPr>
        <w:t>Son aquellas bebidas que cuentan con un envase plástico o de otro material que permiten manipulación simple.</w:t>
      </w:r>
    </w:p>
    <w:p w14:paraId="75AD9CA8"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2. Lineamientos. </w:t>
      </w:r>
      <w:r w:rsidRPr="00644FB2">
        <w:rPr>
          <w:rFonts w:ascii="Arial" w:eastAsia="Arial" w:hAnsi="Arial" w:cs="Arial"/>
          <w:sz w:val="24"/>
          <w:szCs w:val="24"/>
        </w:rPr>
        <w:t xml:space="preserve">La Empresa de Transporte Transmilenio, definirá los corredores de circulación aptos, de acuerdo a un estudio de flujos que garantice el correcto funcionamiento del sistema en cada una de sus estaciones. </w:t>
      </w:r>
    </w:p>
    <w:p w14:paraId="205FC63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 </w:t>
      </w:r>
      <w:r w:rsidR="00644FB2" w:rsidRPr="00644FB2">
        <w:rPr>
          <w:rFonts w:ascii="Arial" w:eastAsia="Arial" w:hAnsi="Arial" w:cs="Arial"/>
          <w:b/>
          <w:sz w:val="24"/>
          <w:szCs w:val="24"/>
        </w:rPr>
        <w:t>Ejecución</w:t>
      </w:r>
      <w:r w:rsidRPr="00644FB2">
        <w:rPr>
          <w:rFonts w:ascii="Arial" w:eastAsia="Arial" w:hAnsi="Arial" w:cs="Arial"/>
          <w:b/>
          <w:sz w:val="24"/>
          <w:szCs w:val="24"/>
        </w:rPr>
        <w:t xml:space="preserve">. </w:t>
      </w:r>
      <w:r w:rsidRPr="00644FB2">
        <w:rPr>
          <w:rFonts w:ascii="Arial" w:eastAsia="Arial" w:hAnsi="Arial" w:cs="Arial"/>
          <w:sz w:val="24"/>
          <w:szCs w:val="24"/>
        </w:rPr>
        <w:t>Instituto para la Economía Social</w:t>
      </w:r>
      <w:r w:rsidRPr="00644FB2">
        <w:rPr>
          <w:rFonts w:ascii="Arial" w:eastAsia="Arial" w:hAnsi="Arial" w:cs="Arial"/>
          <w:b/>
          <w:sz w:val="24"/>
          <w:szCs w:val="24"/>
        </w:rPr>
        <w:t xml:space="preserve"> </w:t>
      </w:r>
      <w:r w:rsidRPr="00644FB2">
        <w:rPr>
          <w:rFonts w:ascii="Arial" w:eastAsia="Arial" w:hAnsi="Arial" w:cs="Arial"/>
          <w:sz w:val="24"/>
          <w:szCs w:val="24"/>
        </w:rPr>
        <w:t xml:space="preserve">en coordinación con la Secretaria Distrital de Salud, Secretaria Distrital de Desarrollo Económico, </w:t>
      </w:r>
      <w:r w:rsidR="00644FB2" w:rsidRPr="00644FB2">
        <w:rPr>
          <w:rFonts w:ascii="Arial" w:eastAsia="Arial" w:hAnsi="Arial" w:cs="Arial"/>
          <w:sz w:val="24"/>
          <w:szCs w:val="24"/>
        </w:rPr>
        <w:t>Transmilenio</w:t>
      </w:r>
      <w:r w:rsidRPr="00644FB2">
        <w:rPr>
          <w:rFonts w:ascii="Arial" w:eastAsia="Arial" w:hAnsi="Arial" w:cs="Arial"/>
          <w:sz w:val="24"/>
          <w:szCs w:val="24"/>
        </w:rPr>
        <w:t xml:space="preserve"> y la secretaría de </w:t>
      </w:r>
      <w:r w:rsidR="00644FB2" w:rsidRPr="00644FB2">
        <w:rPr>
          <w:rFonts w:ascii="Arial" w:eastAsia="Arial" w:hAnsi="Arial" w:cs="Arial"/>
          <w:sz w:val="24"/>
          <w:szCs w:val="24"/>
        </w:rPr>
        <w:t>Seguridad de</w:t>
      </w:r>
      <w:r w:rsidRPr="00644FB2">
        <w:rPr>
          <w:rFonts w:ascii="Arial" w:eastAsia="Arial" w:hAnsi="Arial" w:cs="Arial"/>
          <w:sz w:val="24"/>
          <w:szCs w:val="24"/>
        </w:rPr>
        <w:t xml:space="preserve"> manera articulada y acorde a sus </w:t>
      </w:r>
      <w:r w:rsidR="00644FB2" w:rsidRPr="00644FB2">
        <w:rPr>
          <w:rFonts w:ascii="Arial" w:eastAsia="Arial" w:hAnsi="Arial" w:cs="Arial"/>
          <w:sz w:val="24"/>
          <w:szCs w:val="24"/>
        </w:rPr>
        <w:t>competencias, se</w:t>
      </w:r>
      <w:r w:rsidRPr="00644FB2">
        <w:rPr>
          <w:rFonts w:ascii="Arial" w:eastAsia="Arial" w:hAnsi="Arial" w:cs="Arial"/>
          <w:sz w:val="24"/>
          <w:szCs w:val="24"/>
        </w:rPr>
        <w:t xml:space="preserve"> </w:t>
      </w:r>
      <w:r w:rsidR="00644FB2" w:rsidRPr="00644FB2">
        <w:rPr>
          <w:rFonts w:ascii="Arial" w:eastAsia="Arial" w:hAnsi="Arial" w:cs="Arial"/>
          <w:sz w:val="24"/>
          <w:szCs w:val="24"/>
        </w:rPr>
        <w:lastRenderedPageBreak/>
        <w:t>desarrollarán</w:t>
      </w:r>
      <w:r w:rsidRPr="00644FB2">
        <w:rPr>
          <w:rFonts w:ascii="Arial" w:eastAsia="Arial" w:hAnsi="Arial" w:cs="Arial"/>
          <w:sz w:val="24"/>
          <w:szCs w:val="24"/>
        </w:rPr>
        <w:t xml:space="preserve"> las de condiciones para el alquiler de estos espacios y se definirá la lista de priorizados (adultos mayores y madres cabeza de hogar). </w:t>
      </w:r>
    </w:p>
    <w:p w14:paraId="15438565"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4. Vigencia. </w:t>
      </w:r>
      <w:r w:rsidRPr="00644FB2">
        <w:rPr>
          <w:rFonts w:ascii="Arial" w:eastAsia="Arial" w:hAnsi="Arial" w:cs="Arial"/>
          <w:sz w:val="24"/>
          <w:szCs w:val="24"/>
        </w:rPr>
        <w:t xml:space="preserve">El presente Acuerdo rige a partir de la fecha de su publicación. </w:t>
      </w:r>
    </w:p>
    <w:p w14:paraId="5A6138A0" w14:textId="77777777" w:rsidR="005F0C1F" w:rsidRPr="00644FB2" w:rsidRDefault="005F0C1F">
      <w:pPr>
        <w:jc w:val="center"/>
        <w:rPr>
          <w:rFonts w:ascii="Arial" w:eastAsia="Arial" w:hAnsi="Arial" w:cs="Arial"/>
          <w:sz w:val="24"/>
          <w:szCs w:val="24"/>
        </w:rPr>
      </w:pPr>
    </w:p>
    <w:p w14:paraId="5EC63029" w14:textId="77777777" w:rsidR="005F0C1F" w:rsidRPr="00644FB2" w:rsidRDefault="005F0C1F">
      <w:pPr>
        <w:spacing w:after="0" w:line="240" w:lineRule="auto"/>
        <w:jc w:val="both"/>
        <w:rPr>
          <w:rFonts w:ascii="Arial" w:eastAsia="Arial" w:hAnsi="Arial" w:cs="Arial"/>
          <w:sz w:val="24"/>
          <w:szCs w:val="24"/>
        </w:rPr>
      </w:pPr>
      <w:bookmarkStart w:id="1" w:name="_heading=h.rws9w95gxcs" w:colFirst="0" w:colLast="0"/>
      <w:bookmarkEnd w:id="1"/>
    </w:p>
    <w:p w14:paraId="74326D28" w14:textId="77777777" w:rsidR="005F0C1F" w:rsidRPr="00644FB2" w:rsidRDefault="005F0C1F">
      <w:pPr>
        <w:spacing w:after="0" w:line="240" w:lineRule="auto"/>
        <w:jc w:val="both"/>
        <w:rPr>
          <w:rFonts w:ascii="Arial" w:eastAsia="Arial" w:hAnsi="Arial" w:cs="Arial"/>
          <w:sz w:val="24"/>
          <w:szCs w:val="24"/>
        </w:rPr>
      </w:pPr>
      <w:bookmarkStart w:id="2" w:name="_heading=h.ae1hhw5e7wta" w:colFirst="0" w:colLast="0"/>
      <w:bookmarkEnd w:id="2"/>
    </w:p>
    <w:p w14:paraId="4D9296AF" w14:textId="77777777"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COMUNÍQUESE Y CÚMPLASE</w:t>
      </w:r>
    </w:p>
    <w:p w14:paraId="0BAB9ADC" w14:textId="77777777" w:rsidR="005F0C1F" w:rsidRPr="00644FB2" w:rsidRDefault="005F0C1F">
      <w:pPr>
        <w:rPr>
          <w:rFonts w:ascii="Arial" w:hAnsi="Arial" w:cs="Arial"/>
          <w:sz w:val="24"/>
          <w:szCs w:val="24"/>
        </w:rPr>
      </w:pPr>
    </w:p>
    <w:p w14:paraId="516090E2" w14:textId="37B41C2C"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Dado en Bogotá, D.C., a los ___ días del mes de ___ del año 202</w:t>
      </w:r>
      <w:r w:rsidR="00037CC3">
        <w:rPr>
          <w:rFonts w:ascii="Arial" w:eastAsia="Arial" w:hAnsi="Arial" w:cs="Arial"/>
          <w:sz w:val="24"/>
          <w:szCs w:val="24"/>
        </w:rPr>
        <w:t>4</w:t>
      </w:r>
    </w:p>
    <w:p w14:paraId="00A31954" w14:textId="77777777" w:rsidR="005F0C1F" w:rsidRPr="00644FB2" w:rsidRDefault="005F0C1F">
      <w:pPr>
        <w:spacing w:after="0" w:line="240" w:lineRule="auto"/>
        <w:jc w:val="center"/>
        <w:rPr>
          <w:rFonts w:ascii="Arial" w:eastAsia="Arial" w:hAnsi="Arial" w:cs="Arial"/>
          <w:sz w:val="24"/>
          <w:szCs w:val="24"/>
        </w:rPr>
      </w:pPr>
    </w:p>
    <w:p w14:paraId="0C0F5C39" w14:textId="77777777" w:rsidR="005F0C1F" w:rsidRPr="00644FB2" w:rsidRDefault="005F0C1F">
      <w:pPr>
        <w:spacing w:after="0" w:line="240" w:lineRule="auto"/>
        <w:jc w:val="center"/>
        <w:rPr>
          <w:rFonts w:ascii="Arial" w:eastAsia="Arial" w:hAnsi="Arial" w:cs="Arial"/>
          <w:sz w:val="24"/>
          <w:szCs w:val="24"/>
        </w:rPr>
      </w:pPr>
    </w:p>
    <w:p w14:paraId="4451ACBB" w14:textId="77777777" w:rsidR="005F0C1F" w:rsidRPr="00644FB2" w:rsidRDefault="005F0C1F">
      <w:pPr>
        <w:rPr>
          <w:rFonts w:ascii="Arial" w:hAnsi="Arial" w:cs="Arial"/>
          <w:sz w:val="24"/>
          <w:szCs w:val="24"/>
        </w:rPr>
      </w:pPr>
    </w:p>
    <w:p w14:paraId="0C5C65DB" w14:textId="77777777" w:rsidR="005F0C1F" w:rsidRPr="00644FB2" w:rsidRDefault="00066CD6">
      <w:pPr>
        <w:spacing w:after="10" w:line="240" w:lineRule="auto"/>
        <w:ind w:right="17" w:hanging="10"/>
        <w:jc w:val="center"/>
        <w:rPr>
          <w:rFonts w:ascii="Arial" w:eastAsia="Arial" w:hAnsi="Arial" w:cs="Arial"/>
          <w:sz w:val="24"/>
          <w:szCs w:val="24"/>
        </w:rPr>
      </w:pPr>
      <w:r w:rsidRPr="00644FB2">
        <w:rPr>
          <w:rFonts w:ascii="Arial" w:eastAsia="Arial" w:hAnsi="Arial" w:cs="Arial"/>
          <w:b/>
          <w:sz w:val="24"/>
          <w:szCs w:val="24"/>
        </w:rPr>
        <w:t>Presidente del Concejo                                                          Secretaría General </w:t>
      </w:r>
    </w:p>
    <w:p w14:paraId="4FBC2B2B" w14:textId="77777777" w:rsidR="005F0C1F" w:rsidRPr="00644FB2" w:rsidRDefault="005F0C1F">
      <w:pPr>
        <w:spacing w:after="23" w:line="240" w:lineRule="auto"/>
        <w:rPr>
          <w:rFonts w:ascii="Arial" w:eastAsia="Arial" w:hAnsi="Arial" w:cs="Arial"/>
          <w:b/>
          <w:sz w:val="24"/>
          <w:szCs w:val="24"/>
        </w:rPr>
      </w:pPr>
    </w:p>
    <w:p w14:paraId="00D0FBB3" w14:textId="77777777" w:rsidR="005F0C1F" w:rsidRPr="00644FB2" w:rsidRDefault="005F0C1F">
      <w:pPr>
        <w:spacing w:after="23" w:line="240" w:lineRule="auto"/>
        <w:rPr>
          <w:rFonts w:ascii="Arial" w:eastAsia="Arial" w:hAnsi="Arial" w:cs="Arial"/>
          <w:b/>
          <w:sz w:val="24"/>
          <w:szCs w:val="24"/>
        </w:rPr>
      </w:pPr>
    </w:p>
    <w:p w14:paraId="6C54A4CB" w14:textId="77777777" w:rsidR="005F0C1F" w:rsidRPr="00644FB2" w:rsidRDefault="00066CD6">
      <w:pPr>
        <w:spacing w:after="23" w:line="240" w:lineRule="auto"/>
        <w:rPr>
          <w:rFonts w:ascii="Arial" w:eastAsia="Arial" w:hAnsi="Arial" w:cs="Arial"/>
          <w:sz w:val="24"/>
          <w:szCs w:val="24"/>
        </w:rPr>
      </w:pPr>
      <w:r w:rsidRPr="00644FB2">
        <w:rPr>
          <w:rFonts w:ascii="Arial" w:eastAsia="Arial" w:hAnsi="Arial" w:cs="Arial"/>
          <w:b/>
          <w:sz w:val="24"/>
          <w:szCs w:val="24"/>
        </w:rPr>
        <w:t> </w:t>
      </w:r>
    </w:p>
    <w:p w14:paraId="0642E461" w14:textId="77777777" w:rsidR="005F0C1F" w:rsidRPr="00644FB2" w:rsidRDefault="00066CD6">
      <w:pPr>
        <w:spacing w:after="10" w:line="240" w:lineRule="auto"/>
        <w:ind w:right="5" w:hanging="10"/>
        <w:jc w:val="center"/>
        <w:rPr>
          <w:rFonts w:ascii="Arial" w:eastAsia="Arial" w:hAnsi="Arial" w:cs="Arial"/>
          <w:b/>
          <w:sz w:val="24"/>
          <w:szCs w:val="24"/>
        </w:rPr>
      </w:pPr>
      <w:r w:rsidRPr="00644FB2">
        <w:rPr>
          <w:rFonts w:ascii="Arial" w:eastAsia="Arial" w:hAnsi="Arial" w:cs="Arial"/>
          <w:b/>
          <w:sz w:val="24"/>
          <w:szCs w:val="24"/>
        </w:rPr>
        <w:t>Alcalde Mayor </w:t>
      </w:r>
    </w:p>
    <w:p w14:paraId="4F401A28" w14:textId="77777777" w:rsidR="005F0C1F" w:rsidRPr="00644FB2" w:rsidRDefault="005F0C1F">
      <w:pPr>
        <w:spacing w:after="0" w:line="240" w:lineRule="auto"/>
        <w:jc w:val="both"/>
        <w:rPr>
          <w:rFonts w:ascii="Arial" w:eastAsia="Arial" w:hAnsi="Arial" w:cs="Arial"/>
          <w:sz w:val="24"/>
          <w:szCs w:val="24"/>
        </w:rPr>
      </w:pPr>
      <w:bookmarkStart w:id="3" w:name="_heading=h.gjgab59ump7s" w:colFirst="0" w:colLast="0"/>
      <w:bookmarkEnd w:id="3"/>
    </w:p>
    <w:p w14:paraId="69383DDB" w14:textId="77777777" w:rsidR="005F0C1F" w:rsidRPr="00644FB2" w:rsidRDefault="005F0C1F">
      <w:pPr>
        <w:jc w:val="center"/>
        <w:rPr>
          <w:rFonts w:ascii="Arial" w:eastAsia="Arial" w:hAnsi="Arial" w:cs="Arial"/>
          <w:sz w:val="24"/>
          <w:szCs w:val="24"/>
        </w:rPr>
      </w:pPr>
    </w:p>
    <w:p w14:paraId="2DA9E5C8" w14:textId="77777777" w:rsidR="005F0C1F" w:rsidRPr="00644FB2" w:rsidRDefault="005F0C1F">
      <w:pPr>
        <w:jc w:val="center"/>
        <w:rPr>
          <w:rFonts w:ascii="Arial" w:eastAsia="Arial" w:hAnsi="Arial" w:cs="Arial"/>
          <w:sz w:val="24"/>
          <w:szCs w:val="24"/>
        </w:rPr>
      </w:pPr>
    </w:p>
    <w:p w14:paraId="69E100B8" w14:textId="77777777" w:rsidR="005F0C1F" w:rsidRPr="00644FB2" w:rsidRDefault="005F0C1F">
      <w:pPr>
        <w:jc w:val="center"/>
        <w:rPr>
          <w:rFonts w:ascii="Arial" w:eastAsia="Arial" w:hAnsi="Arial" w:cs="Arial"/>
          <w:sz w:val="24"/>
          <w:szCs w:val="24"/>
        </w:rPr>
      </w:pPr>
    </w:p>
    <w:p w14:paraId="77E59597" w14:textId="77777777" w:rsidR="005F0C1F" w:rsidRPr="00644FB2" w:rsidRDefault="005F0C1F">
      <w:pPr>
        <w:jc w:val="center"/>
        <w:rPr>
          <w:rFonts w:ascii="Arial" w:eastAsia="Arial" w:hAnsi="Arial" w:cs="Arial"/>
          <w:sz w:val="24"/>
          <w:szCs w:val="24"/>
        </w:rPr>
      </w:pPr>
    </w:p>
    <w:p w14:paraId="3DA8C0A2" w14:textId="77777777" w:rsidR="005F0C1F" w:rsidRPr="00644FB2" w:rsidRDefault="005F0C1F">
      <w:pPr>
        <w:jc w:val="center"/>
        <w:rPr>
          <w:rFonts w:ascii="Arial" w:eastAsia="Arial" w:hAnsi="Arial" w:cs="Arial"/>
          <w:sz w:val="24"/>
          <w:szCs w:val="24"/>
        </w:rPr>
      </w:pPr>
    </w:p>
    <w:p w14:paraId="0DF2ED95" w14:textId="77777777" w:rsidR="005F0C1F" w:rsidRPr="00644FB2" w:rsidRDefault="005F0C1F">
      <w:pPr>
        <w:jc w:val="center"/>
        <w:rPr>
          <w:rFonts w:ascii="Arial" w:eastAsia="Arial" w:hAnsi="Arial" w:cs="Arial"/>
          <w:sz w:val="24"/>
          <w:szCs w:val="24"/>
        </w:rPr>
      </w:pPr>
    </w:p>
    <w:p w14:paraId="3B9121BB" w14:textId="77777777" w:rsidR="005F0C1F" w:rsidRPr="00644FB2" w:rsidRDefault="005F0C1F">
      <w:pPr>
        <w:jc w:val="center"/>
        <w:rPr>
          <w:rFonts w:ascii="Arial" w:eastAsia="Arial" w:hAnsi="Arial" w:cs="Arial"/>
          <w:sz w:val="24"/>
          <w:szCs w:val="24"/>
        </w:rPr>
      </w:pPr>
    </w:p>
    <w:p w14:paraId="49C7CA0A" w14:textId="77777777" w:rsidR="005F0C1F" w:rsidRPr="00644FB2" w:rsidRDefault="005F0C1F">
      <w:pPr>
        <w:jc w:val="center"/>
        <w:rPr>
          <w:rFonts w:ascii="Arial" w:eastAsia="Arial" w:hAnsi="Arial" w:cs="Arial"/>
          <w:sz w:val="24"/>
          <w:szCs w:val="24"/>
        </w:rPr>
      </w:pPr>
    </w:p>
    <w:p w14:paraId="109EC9F0" w14:textId="77777777" w:rsidR="005F0C1F" w:rsidRPr="00644FB2" w:rsidRDefault="005F0C1F">
      <w:pPr>
        <w:jc w:val="center"/>
        <w:rPr>
          <w:rFonts w:ascii="Arial" w:eastAsia="Arial" w:hAnsi="Arial" w:cs="Arial"/>
          <w:sz w:val="24"/>
          <w:szCs w:val="24"/>
        </w:rPr>
      </w:pPr>
    </w:p>
    <w:p w14:paraId="36B5A9AB" w14:textId="77777777" w:rsidR="005F0C1F" w:rsidRPr="00644FB2" w:rsidRDefault="005F0C1F">
      <w:pPr>
        <w:jc w:val="center"/>
        <w:rPr>
          <w:rFonts w:ascii="Arial" w:eastAsia="Arial" w:hAnsi="Arial" w:cs="Arial"/>
          <w:sz w:val="24"/>
          <w:szCs w:val="24"/>
        </w:rPr>
      </w:pPr>
    </w:p>
    <w:p w14:paraId="723AE8C6" w14:textId="77777777" w:rsidR="005F0C1F" w:rsidRPr="00644FB2" w:rsidRDefault="005F0C1F">
      <w:pPr>
        <w:jc w:val="center"/>
        <w:rPr>
          <w:rFonts w:ascii="Arial" w:eastAsia="Arial" w:hAnsi="Arial" w:cs="Arial"/>
          <w:sz w:val="24"/>
          <w:szCs w:val="24"/>
        </w:rPr>
      </w:pPr>
    </w:p>
    <w:p w14:paraId="5900E419" w14:textId="77777777" w:rsidR="005F0C1F" w:rsidRPr="00644FB2" w:rsidRDefault="005F0C1F">
      <w:pPr>
        <w:rPr>
          <w:rFonts w:ascii="Arial" w:eastAsia="Arial" w:hAnsi="Arial" w:cs="Arial"/>
          <w:sz w:val="24"/>
          <w:szCs w:val="24"/>
        </w:rPr>
      </w:pPr>
    </w:p>
    <w:p w14:paraId="123B69C7" w14:textId="77777777" w:rsidR="005F0C1F" w:rsidRPr="00644FB2" w:rsidRDefault="005F0C1F">
      <w:pPr>
        <w:jc w:val="center"/>
        <w:rPr>
          <w:rFonts w:ascii="Arial" w:eastAsia="Arial" w:hAnsi="Arial" w:cs="Arial"/>
          <w:sz w:val="24"/>
          <w:szCs w:val="24"/>
        </w:rPr>
      </w:pPr>
    </w:p>
    <w:p w14:paraId="0C55B0D7" w14:textId="77777777" w:rsidR="005F0C1F" w:rsidRPr="00644FB2" w:rsidRDefault="00066CD6">
      <w:pPr>
        <w:pStyle w:val="Ttulo1"/>
        <w:rPr>
          <w:rFonts w:ascii="Arial" w:eastAsia="Arial" w:hAnsi="Arial" w:cs="Arial"/>
          <w:b/>
          <w:color w:val="000000"/>
          <w:sz w:val="24"/>
          <w:szCs w:val="24"/>
        </w:rPr>
      </w:pPr>
      <w:r w:rsidRPr="00644FB2">
        <w:rPr>
          <w:rFonts w:ascii="Arial" w:eastAsia="Arial" w:hAnsi="Arial" w:cs="Arial"/>
          <w:b/>
          <w:color w:val="000000"/>
          <w:sz w:val="24"/>
          <w:szCs w:val="24"/>
        </w:rPr>
        <w:t>Referencias</w:t>
      </w:r>
    </w:p>
    <w:p w14:paraId="4E6DEEC3" w14:textId="77777777" w:rsidR="005F0C1F" w:rsidRPr="00644FB2" w:rsidRDefault="005F0C1F">
      <w:pPr>
        <w:rPr>
          <w:rFonts w:ascii="Arial" w:hAnsi="Arial" w:cs="Arial"/>
          <w:sz w:val="24"/>
          <w:szCs w:val="24"/>
        </w:rPr>
      </w:pPr>
    </w:p>
    <w:p w14:paraId="6A6D93B1"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Avendaño, W. C. (2020). Impacto social del Covid-19 en un contexto de informalidad . </w:t>
      </w:r>
      <w:r w:rsidRPr="00644FB2">
        <w:rPr>
          <w:rFonts w:ascii="Arial" w:eastAsia="Arial" w:hAnsi="Arial" w:cs="Arial"/>
          <w:i/>
          <w:color w:val="000000"/>
          <w:sz w:val="24"/>
          <w:szCs w:val="24"/>
        </w:rPr>
        <w:t>Revista ESPACIOS</w:t>
      </w:r>
      <w:r w:rsidRPr="00644FB2">
        <w:rPr>
          <w:rFonts w:ascii="Arial" w:eastAsia="Arial" w:hAnsi="Arial" w:cs="Arial"/>
          <w:color w:val="000000"/>
          <w:sz w:val="24"/>
          <w:szCs w:val="24"/>
        </w:rPr>
        <w:t>, 39 - 48.</w:t>
      </w:r>
    </w:p>
    <w:p w14:paraId="08C7D9E0"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EL TIEMPO. (21 de Abril de 2018). </w:t>
      </w:r>
      <w:r w:rsidRPr="00644FB2">
        <w:rPr>
          <w:rFonts w:ascii="Arial" w:eastAsia="Arial" w:hAnsi="Arial" w:cs="Arial"/>
          <w:i/>
          <w:color w:val="000000"/>
          <w:sz w:val="24"/>
          <w:szCs w:val="24"/>
        </w:rPr>
        <w:t>Concentración de ventas informales junto a estaciones de Transmilenio</w:t>
      </w:r>
      <w:r w:rsidRPr="00644FB2">
        <w:rPr>
          <w:rFonts w:ascii="Arial" w:eastAsia="Arial" w:hAnsi="Arial" w:cs="Arial"/>
          <w:color w:val="000000"/>
          <w:sz w:val="24"/>
          <w:szCs w:val="24"/>
        </w:rPr>
        <w:t>. Obtenido de https://www.eltiempo.com/bogota/cifras-de-vendedores-ambulantes-en-bogota-207566</w:t>
      </w:r>
    </w:p>
    <w:p w14:paraId="75FE216A"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Flórez, D. F. (2012). </w:t>
      </w:r>
      <w:r w:rsidRPr="00644FB2">
        <w:rPr>
          <w:rFonts w:ascii="Arial" w:eastAsia="Arial" w:hAnsi="Arial" w:cs="Arial"/>
          <w:i/>
          <w:color w:val="000000"/>
          <w:sz w:val="24"/>
          <w:szCs w:val="24"/>
        </w:rPr>
        <w:t>COMERCIO INFORMAL EN TORNO AL SISTEMA TRANSMILENIO Y OPORTUNIDADES DE FORMALIZACIÓN BASADAS EN MODELOS TOD.</w:t>
      </w:r>
      <w:r w:rsidRPr="00644FB2">
        <w:rPr>
          <w:rFonts w:ascii="Arial" w:eastAsia="Arial" w:hAnsi="Arial" w:cs="Arial"/>
          <w:color w:val="000000"/>
          <w:sz w:val="24"/>
          <w:szCs w:val="24"/>
        </w:rPr>
        <w:t xml:space="preserve"> Bogotá: Universidad de los Andes .</w:t>
      </w:r>
    </w:p>
    <w:p w14:paraId="3154E4CE" w14:textId="77777777" w:rsidR="005F0C1F" w:rsidRPr="00644FB2" w:rsidRDefault="005F0C1F">
      <w:pPr>
        <w:jc w:val="both"/>
        <w:rPr>
          <w:rFonts w:ascii="Arial" w:eastAsia="Arial" w:hAnsi="Arial" w:cs="Arial"/>
          <w:sz w:val="24"/>
          <w:szCs w:val="24"/>
        </w:rPr>
      </w:pPr>
    </w:p>
    <w:p w14:paraId="20DA9212" w14:textId="77777777" w:rsidR="005F0C1F" w:rsidRPr="00644FB2" w:rsidRDefault="005F0C1F">
      <w:pPr>
        <w:rPr>
          <w:rFonts w:ascii="Arial" w:eastAsia="Arial" w:hAnsi="Arial" w:cs="Arial"/>
          <w:sz w:val="24"/>
          <w:szCs w:val="24"/>
        </w:rPr>
      </w:pPr>
    </w:p>
    <w:p w14:paraId="7C229134" w14:textId="77777777" w:rsidR="005F0C1F" w:rsidRPr="00644FB2" w:rsidRDefault="005F0C1F">
      <w:pPr>
        <w:rPr>
          <w:rFonts w:ascii="Arial" w:eastAsia="Arial" w:hAnsi="Arial" w:cs="Arial"/>
          <w:sz w:val="24"/>
          <w:szCs w:val="24"/>
        </w:rPr>
      </w:pPr>
    </w:p>
    <w:p w14:paraId="552981D5" w14:textId="77777777" w:rsidR="005F0C1F" w:rsidRPr="00644FB2" w:rsidRDefault="005F0C1F">
      <w:pPr>
        <w:rPr>
          <w:rFonts w:ascii="Arial" w:eastAsia="Arial" w:hAnsi="Arial" w:cs="Arial"/>
          <w:sz w:val="24"/>
          <w:szCs w:val="24"/>
        </w:rPr>
      </w:pPr>
      <w:bookmarkStart w:id="4" w:name="_heading=h.gjdgxs" w:colFirst="0" w:colLast="0"/>
      <w:bookmarkEnd w:id="4"/>
    </w:p>
    <w:sectPr w:rsidR="005F0C1F" w:rsidRPr="00644FB2">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29E9" w14:textId="77777777" w:rsidR="00704EDA" w:rsidRDefault="00704EDA">
      <w:pPr>
        <w:spacing w:after="0" w:line="240" w:lineRule="auto"/>
      </w:pPr>
      <w:r>
        <w:separator/>
      </w:r>
    </w:p>
  </w:endnote>
  <w:endnote w:type="continuationSeparator" w:id="0">
    <w:p w14:paraId="08F59E46" w14:textId="77777777" w:rsidR="00704EDA" w:rsidRDefault="0070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7887" w14:textId="77777777" w:rsidR="00704EDA" w:rsidRDefault="00704EDA">
      <w:pPr>
        <w:spacing w:after="0" w:line="240" w:lineRule="auto"/>
      </w:pPr>
      <w:r>
        <w:separator/>
      </w:r>
    </w:p>
  </w:footnote>
  <w:footnote w:type="continuationSeparator" w:id="0">
    <w:p w14:paraId="0C8FAE6B" w14:textId="77777777" w:rsidR="00704EDA" w:rsidRDefault="00704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D3DE" w14:textId="77777777" w:rsidR="005F0C1F" w:rsidRDefault="005F0C1F">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E1195B" w:rsidRPr="00F340A5" w14:paraId="4296CA5C"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819BDD9" w14:textId="77777777" w:rsidR="00E1195B" w:rsidRPr="00F340A5" w:rsidRDefault="00E1195B" w:rsidP="00E1195B">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5B7C3C66" wp14:editId="4825FBA2">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94EB46"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212B42C"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E1195B" w:rsidRPr="00F340A5" w14:paraId="23400D81" w14:textId="77777777" w:rsidTr="00380521">
      <w:trPr>
        <w:trHeight w:val="454"/>
      </w:trPr>
      <w:tc>
        <w:tcPr>
          <w:tcW w:w="1337" w:type="pct"/>
          <w:vMerge/>
          <w:tcBorders>
            <w:left w:val="single" w:sz="4" w:space="0" w:color="auto"/>
            <w:right w:val="single" w:sz="4" w:space="0" w:color="auto"/>
          </w:tcBorders>
          <w:vAlign w:val="center"/>
        </w:tcPr>
        <w:p w14:paraId="2DDE051D"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976ED45" w14:textId="77777777" w:rsidR="00E1195B" w:rsidRPr="00F340A5" w:rsidRDefault="00E1195B" w:rsidP="00E1195B">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27951B3"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E1195B" w:rsidRPr="00F340A5" w14:paraId="6726EF0E"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B52E0A8"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65818238"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46D7B7B"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5BADCFF7" w14:textId="77777777" w:rsidR="005F0C1F" w:rsidRDefault="005F0C1F">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F"/>
    <w:rsid w:val="00037CC3"/>
    <w:rsid w:val="00042F84"/>
    <w:rsid w:val="00046D24"/>
    <w:rsid w:val="00056E1F"/>
    <w:rsid w:val="00066CD6"/>
    <w:rsid w:val="000854CD"/>
    <w:rsid w:val="000B4367"/>
    <w:rsid w:val="00100FF2"/>
    <w:rsid w:val="005F0C1F"/>
    <w:rsid w:val="00644FB2"/>
    <w:rsid w:val="00704EDA"/>
    <w:rsid w:val="007C2061"/>
    <w:rsid w:val="00812327"/>
    <w:rsid w:val="00846286"/>
    <w:rsid w:val="00873282"/>
    <w:rsid w:val="00880251"/>
    <w:rsid w:val="00975017"/>
    <w:rsid w:val="009F7753"/>
    <w:rsid w:val="00A7245A"/>
    <w:rsid w:val="00A73C1A"/>
    <w:rsid w:val="00AC23DF"/>
    <w:rsid w:val="00C07871"/>
    <w:rsid w:val="00C27D96"/>
    <w:rsid w:val="00C63F1A"/>
    <w:rsid w:val="00C77DB7"/>
    <w:rsid w:val="00CB1E7A"/>
    <w:rsid w:val="00E1195B"/>
    <w:rsid w:val="00E440E9"/>
    <w:rsid w:val="00E57433"/>
    <w:rsid w:val="00EB1641"/>
    <w:rsid w:val="00EF0C3F"/>
    <w:rsid w:val="00EF4BF8"/>
    <w:rsid w:val="00FA05DD"/>
    <w:rsid w:val="00FA49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98116"/>
  <w15:docId w15:val="{1E260DBC-8CFE-4696-981F-A77C1F69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949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8E77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E772E"/>
  </w:style>
  <w:style w:type="paragraph" w:styleId="Piedepgina">
    <w:name w:val="footer"/>
    <w:basedOn w:val="Normal"/>
    <w:link w:val="PiedepginaCar"/>
    <w:uiPriority w:val="99"/>
    <w:unhideWhenUsed/>
    <w:rsid w:val="008E77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772E"/>
  </w:style>
  <w:style w:type="character" w:customStyle="1" w:styleId="Ttulo1Car">
    <w:name w:val="Título 1 Car"/>
    <w:basedOn w:val="Fuentedeprrafopredeter"/>
    <w:link w:val="Ttulo1"/>
    <w:uiPriority w:val="9"/>
    <w:rsid w:val="00D9491B"/>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8E0D6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9R01rEp8CSbInu619sfysV02Q==">AMUW2mUl4sVRYElwq9HvkhG9Tn58LwsFHcUbckv+bDvb+ScJPPABs9c/72B40O0ZZ5fhX1t5llM8S9H7YI430k+1rUmyoIYTc7AWU9akO62Oe9BGgXELPhazCbyaZLjXQqHqiOPGKf9FbRkrhFlwN7OUKX6i8avnOOZUacNS1c3A305xV6+CFAUCx0kuBoy4xXDiWIj2xZ0w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3039</Words>
  <Characters>16719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ANA IRETH LOPEZ VELANDIA</cp:lastModifiedBy>
  <cp:revision>25</cp:revision>
  <cp:lastPrinted>2025-01-13T17:40:00Z</cp:lastPrinted>
  <dcterms:created xsi:type="dcterms:W3CDTF">2023-03-22T16:28:00Z</dcterms:created>
  <dcterms:modified xsi:type="dcterms:W3CDTF">2025-01-13T17:40:00Z</dcterms:modified>
</cp:coreProperties>
</file>